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C7" w:rsidRDefault="002A63C7">
      <w:pPr>
        <w:widowControl w:val="0"/>
        <w:autoSpaceDE w:val="0"/>
        <w:autoSpaceDN w:val="0"/>
        <w:adjustRightInd w:val="0"/>
        <w:spacing w:after="0" w:line="240" w:lineRule="auto"/>
        <w:ind w:right="-2"/>
        <w:rPr>
          <w:rFonts w:ascii="ArialMT" w:hAnsi="ArialMT" w:cs="ArialMT"/>
          <w:sz w:val="24"/>
          <w:szCs w:val="24"/>
        </w:rPr>
      </w:pPr>
    </w:p>
    <w:tbl>
      <w:tblPr>
        <w:tblW w:w="0" w:type="auto"/>
        <w:tblLayout w:type="fixed"/>
        <w:tblLook w:val="0000" w:firstRow="0" w:lastRow="0" w:firstColumn="0" w:lastColumn="0" w:noHBand="0" w:noVBand="0"/>
      </w:tblPr>
      <w:tblGrid>
        <w:gridCol w:w="5495"/>
        <w:gridCol w:w="3793"/>
      </w:tblGrid>
      <w:tr w:rsidR="002A63C7">
        <w:tc>
          <w:tcPr>
            <w:tcW w:w="5495"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395"/>
              <w:jc w:val="both"/>
              <w:rPr>
                <w:rFonts w:ascii="ArialMT" w:hAnsi="ArialMT" w:cs="ArialMT"/>
                <w:b/>
                <w:bCs/>
                <w:sz w:val="24"/>
                <w:szCs w:val="24"/>
              </w:rPr>
            </w:pPr>
          </w:p>
          <w:p w:rsidR="002A63C7" w:rsidRDefault="002A63C7">
            <w:pPr>
              <w:widowControl w:val="0"/>
              <w:autoSpaceDE w:val="0"/>
              <w:autoSpaceDN w:val="0"/>
              <w:adjustRightInd w:val="0"/>
              <w:spacing w:after="0" w:line="240" w:lineRule="auto"/>
              <w:ind w:right="395"/>
              <w:jc w:val="both"/>
              <w:rPr>
                <w:rFonts w:ascii="ArialMT" w:hAnsi="ArialMT" w:cs="ArialMT"/>
                <w:b/>
                <w:bCs/>
                <w:sz w:val="24"/>
                <w:szCs w:val="24"/>
              </w:rPr>
            </w:pPr>
            <w:r>
              <w:rPr>
                <w:rFonts w:ascii="ArialMT" w:hAnsi="ArialMT" w:cs="ArialMT"/>
                <w:b/>
                <w:bCs/>
                <w:sz w:val="24"/>
                <w:szCs w:val="24"/>
              </w:rPr>
              <w:t>East Area Planning Committee</w:t>
            </w:r>
          </w:p>
        </w:tc>
        <w:tc>
          <w:tcPr>
            <w:tcW w:w="3793"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395"/>
              <w:jc w:val="both"/>
              <w:rPr>
                <w:rFonts w:ascii="ArialMT" w:hAnsi="ArialMT" w:cs="ArialMT"/>
                <w:sz w:val="24"/>
                <w:szCs w:val="24"/>
              </w:rPr>
            </w:pPr>
          </w:p>
          <w:p w:rsidR="002A63C7" w:rsidRDefault="00F10EE9" w:rsidP="00F10EE9">
            <w:pPr>
              <w:widowControl w:val="0"/>
              <w:autoSpaceDE w:val="0"/>
              <w:autoSpaceDN w:val="0"/>
              <w:adjustRightInd w:val="0"/>
              <w:spacing w:after="0" w:line="240" w:lineRule="auto"/>
              <w:ind w:left="720" w:right="395"/>
              <w:jc w:val="both"/>
              <w:rPr>
                <w:rFonts w:ascii="ArialMT" w:hAnsi="ArialMT" w:cs="ArialMT"/>
                <w:sz w:val="24"/>
                <w:szCs w:val="24"/>
              </w:rPr>
            </w:pPr>
            <w:r>
              <w:rPr>
                <w:rFonts w:ascii="ArialMT" w:hAnsi="ArialMT" w:cs="ArialMT"/>
                <w:sz w:val="24"/>
                <w:szCs w:val="24"/>
              </w:rPr>
              <w:t>2nd</w:t>
            </w:r>
            <w:r w:rsidR="00980BF8">
              <w:rPr>
                <w:rFonts w:ascii="ArialMT" w:hAnsi="ArialMT" w:cs="ArialMT"/>
                <w:sz w:val="24"/>
                <w:szCs w:val="24"/>
              </w:rPr>
              <w:t xml:space="preserve"> </w:t>
            </w:r>
            <w:r>
              <w:rPr>
                <w:rFonts w:ascii="ArialMT" w:hAnsi="ArialMT" w:cs="ArialMT"/>
                <w:sz w:val="24"/>
                <w:szCs w:val="24"/>
              </w:rPr>
              <w:t>Dec</w:t>
            </w:r>
            <w:r w:rsidR="00980BF8">
              <w:rPr>
                <w:rFonts w:ascii="ArialMT" w:hAnsi="ArialMT" w:cs="ArialMT"/>
                <w:sz w:val="24"/>
                <w:szCs w:val="24"/>
              </w:rPr>
              <w:t>ember 2015</w:t>
            </w:r>
          </w:p>
        </w:tc>
      </w:tr>
    </w:tbl>
    <w:p w:rsidR="002A63C7" w:rsidRDefault="002A63C7">
      <w:pPr>
        <w:widowControl w:val="0"/>
        <w:autoSpaceDE w:val="0"/>
        <w:autoSpaceDN w:val="0"/>
        <w:adjustRightInd w:val="0"/>
        <w:spacing w:after="0" w:line="240" w:lineRule="auto"/>
        <w:ind w:right="-2"/>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sz w:val="24"/>
          <w:szCs w:val="24"/>
        </w:rPr>
      </w:pPr>
    </w:p>
    <w:tbl>
      <w:tblPr>
        <w:tblW w:w="0" w:type="auto"/>
        <w:tblLayout w:type="fixed"/>
        <w:tblLook w:val="0000" w:firstRow="0" w:lastRow="0" w:firstColumn="0" w:lastColumn="0" w:noHBand="0" w:noVBand="0"/>
      </w:tblPr>
      <w:tblGrid>
        <w:gridCol w:w="2660"/>
        <w:gridCol w:w="6627"/>
      </w:tblGrid>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sz w:val="24"/>
                <w:szCs w:val="24"/>
              </w:rPr>
            </w:pPr>
            <w:r>
              <w:rPr>
                <w:rFonts w:ascii="ArialMT" w:hAnsi="ArialMT" w:cs="ArialMT"/>
                <w:b/>
                <w:bCs/>
                <w:sz w:val="24"/>
                <w:szCs w:val="24"/>
              </w:rPr>
              <w:t>Application Number:</w:t>
            </w: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15/00955/FUL</w:t>
            </w: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sz w:val="24"/>
                <w:szCs w:val="24"/>
              </w:rPr>
            </w:pPr>
            <w:r>
              <w:rPr>
                <w:rFonts w:ascii="ArialMT" w:hAnsi="ArialMT" w:cs="ArialMT"/>
                <w:b/>
                <w:bCs/>
                <w:sz w:val="24"/>
                <w:szCs w:val="24"/>
              </w:rPr>
              <w:t>Decision Due by:</w:t>
            </w:r>
          </w:p>
        </w:tc>
        <w:tc>
          <w:tcPr>
            <w:tcW w:w="6627" w:type="dxa"/>
            <w:tcBorders>
              <w:top w:val="single" w:sz="8" w:space="0" w:color="BFBFBF"/>
              <w:left w:val="single" w:sz="8" w:space="0" w:color="BFBFBF"/>
              <w:bottom w:val="single" w:sz="8" w:space="0" w:color="BFBFBF"/>
              <w:right w:val="single" w:sz="8" w:space="0" w:color="BFBFBF"/>
            </w:tcBorders>
          </w:tcPr>
          <w:p w:rsidR="002A63C7" w:rsidRDefault="00276F22" w:rsidP="00276F22">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22nd</w:t>
            </w:r>
            <w:r w:rsidR="002A63C7">
              <w:rPr>
                <w:rFonts w:ascii="ArialMT" w:hAnsi="ArialMT" w:cs="ArialMT"/>
                <w:sz w:val="24"/>
                <w:szCs w:val="24"/>
              </w:rPr>
              <w:t xml:space="preserve"> </w:t>
            </w:r>
            <w:r>
              <w:rPr>
                <w:rFonts w:ascii="ArialMT" w:hAnsi="ArialMT" w:cs="ArialMT"/>
                <w:sz w:val="24"/>
                <w:szCs w:val="24"/>
              </w:rPr>
              <w:t>January</w:t>
            </w:r>
            <w:r w:rsidR="002A63C7">
              <w:rPr>
                <w:rFonts w:ascii="ArialMT" w:hAnsi="ArialMT" w:cs="ArialMT"/>
                <w:sz w:val="24"/>
                <w:szCs w:val="24"/>
              </w:rPr>
              <w:t xml:space="preserve"> 201</w:t>
            </w:r>
            <w:r>
              <w:rPr>
                <w:rFonts w:ascii="ArialMT" w:hAnsi="ArialMT" w:cs="ArialMT"/>
                <w:sz w:val="24"/>
                <w:szCs w:val="24"/>
              </w:rPr>
              <w:t>6</w:t>
            </w: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b/>
                <w:bCs/>
                <w:sz w:val="24"/>
                <w:szCs w:val="24"/>
              </w:rPr>
            </w:pPr>
            <w:r>
              <w:rPr>
                <w:rFonts w:ascii="ArialMT" w:hAnsi="ArialMT" w:cs="ArialMT"/>
                <w:b/>
                <w:bCs/>
                <w:sz w:val="24"/>
                <w:szCs w:val="24"/>
              </w:rPr>
              <w:t>Proposal:</w:t>
            </w: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 xml:space="preserve">Demolition of existing builder's yard. Erection of 3 x 3 bed </w:t>
            </w:r>
            <w:proofErr w:type="spellStart"/>
            <w:r>
              <w:rPr>
                <w:rFonts w:ascii="ArialMT" w:hAnsi="ArialMT" w:cs="ArialMT"/>
                <w:sz w:val="24"/>
                <w:szCs w:val="24"/>
              </w:rPr>
              <w:t>dwellinghouse</w:t>
            </w:r>
            <w:proofErr w:type="spellEnd"/>
            <w:r>
              <w:rPr>
                <w:rFonts w:ascii="ArialMT" w:hAnsi="ArialMT" w:cs="ArialMT"/>
                <w:sz w:val="24"/>
                <w:szCs w:val="24"/>
              </w:rPr>
              <w:t xml:space="preserve"> (Use Class C3) and 3 x4 bed </w:t>
            </w:r>
            <w:proofErr w:type="spellStart"/>
            <w:r>
              <w:rPr>
                <w:rFonts w:ascii="ArialMT" w:hAnsi="ArialMT" w:cs="ArialMT"/>
                <w:sz w:val="24"/>
                <w:szCs w:val="24"/>
              </w:rPr>
              <w:t>dwellinghouse</w:t>
            </w:r>
            <w:proofErr w:type="spellEnd"/>
            <w:r>
              <w:rPr>
                <w:rFonts w:ascii="ArialMT" w:hAnsi="ArialMT" w:cs="ArialMT"/>
                <w:sz w:val="24"/>
                <w:szCs w:val="24"/>
              </w:rPr>
              <w:t xml:space="preserve"> (Use Class C3). Provision of private amenity space, car parking, cycling and bins storage.</w:t>
            </w: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b/>
                <w:bCs/>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b/>
                <w:bCs/>
                <w:sz w:val="24"/>
                <w:szCs w:val="24"/>
              </w:rPr>
            </w:pPr>
            <w:r>
              <w:rPr>
                <w:rFonts w:ascii="ArialMT" w:hAnsi="ArialMT" w:cs="ArialMT"/>
                <w:b/>
                <w:bCs/>
                <w:sz w:val="24"/>
                <w:szCs w:val="24"/>
              </w:rPr>
              <w:t>Site Address:</w:t>
            </w: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 xml:space="preserve">Ashlar House Adjacent 2 Glanville Road, </w:t>
            </w:r>
            <w:r>
              <w:rPr>
                <w:rFonts w:ascii="ArialMT" w:hAnsi="ArialMT" w:cs="ArialMT"/>
                <w:b/>
                <w:bCs/>
                <w:sz w:val="24"/>
                <w:szCs w:val="24"/>
              </w:rPr>
              <w:t>Appendix 1.</w:t>
            </w:r>
            <w:r>
              <w:rPr>
                <w:rFonts w:ascii="ArialMT" w:hAnsi="ArialMT" w:cs="ArialMT"/>
                <w:sz w:val="24"/>
                <w:szCs w:val="24"/>
              </w:rPr>
              <w:t xml:space="preserve"> Oxford Oxfordshire</w:t>
            </w: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sz w:val="24"/>
                <w:szCs w:val="24"/>
              </w:rPr>
            </w:pP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p>
        </w:tc>
      </w:tr>
      <w:tr w:rsidR="002A63C7">
        <w:tc>
          <w:tcPr>
            <w:tcW w:w="2660"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jc w:val="right"/>
              <w:rPr>
                <w:rFonts w:ascii="ArialMT" w:hAnsi="ArialMT" w:cs="ArialMT"/>
                <w:b/>
                <w:bCs/>
                <w:sz w:val="24"/>
                <w:szCs w:val="24"/>
              </w:rPr>
            </w:pPr>
            <w:r>
              <w:rPr>
                <w:rFonts w:ascii="ArialMT" w:hAnsi="ArialMT" w:cs="ArialMT"/>
                <w:b/>
                <w:bCs/>
                <w:sz w:val="24"/>
                <w:szCs w:val="24"/>
              </w:rPr>
              <w:t>Ward:</w:t>
            </w:r>
          </w:p>
        </w:tc>
        <w:tc>
          <w:tcPr>
            <w:tcW w:w="6627"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proofErr w:type="spellStart"/>
            <w:r>
              <w:rPr>
                <w:rFonts w:ascii="ArialMT" w:hAnsi="ArialMT" w:cs="ArialMT"/>
                <w:sz w:val="24"/>
                <w:szCs w:val="24"/>
              </w:rPr>
              <w:t>Cowley</w:t>
            </w:r>
            <w:proofErr w:type="spellEnd"/>
            <w:r>
              <w:rPr>
                <w:rFonts w:ascii="ArialMT" w:hAnsi="ArialMT" w:cs="ArialMT"/>
                <w:sz w:val="24"/>
                <w:szCs w:val="24"/>
              </w:rPr>
              <w:t xml:space="preserve"> Marsh Ward</w:t>
            </w:r>
          </w:p>
        </w:tc>
      </w:tr>
    </w:tbl>
    <w:p w:rsidR="002A63C7" w:rsidRDefault="002A63C7">
      <w:pPr>
        <w:widowControl w:val="0"/>
        <w:autoSpaceDE w:val="0"/>
        <w:autoSpaceDN w:val="0"/>
        <w:adjustRightInd w:val="0"/>
        <w:spacing w:after="0" w:line="240" w:lineRule="auto"/>
        <w:ind w:right="-2"/>
        <w:rPr>
          <w:rFonts w:ascii="ArialMT" w:hAnsi="ArialMT" w:cs="ArialMT"/>
          <w:sz w:val="24"/>
          <w:szCs w:val="24"/>
        </w:rPr>
      </w:pPr>
    </w:p>
    <w:tbl>
      <w:tblPr>
        <w:tblW w:w="9288" w:type="dxa"/>
        <w:tblLayout w:type="fixed"/>
        <w:tblLook w:val="0000" w:firstRow="0" w:lastRow="0" w:firstColumn="0" w:lastColumn="0" w:noHBand="0" w:noVBand="0"/>
      </w:tblPr>
      <w:tblGrid>
        <w:gridCol w:w="1101"/>
        <w:gridCol w:w="3543"/>
        <w:gridCol w:w="1418"/>
        <w:gridCol w:w="3226"/>
      </w:tblGrid>
      <w:tr w:rsidR="002A63C7">
        <w:tc>
          <w:tcPr>
            <w:tcW w:w="1101"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Agent:</w:t>
            </w:r>
            <w:r>
              <w:rPr>
                <w:rFonts w:ascii="ArialMT" w:hAnsi="ArialMT" w:cs="ArialMT"/>
                <w:sz w:val="24"/>
                <w:szCs w:val="24"/>
              </w:rPr>
              <w:t xml:space="preserve"> </w:t>
            </w:r>
          </w:p>
        </w:tc>
        <w:tc>
          <w:tcPr>
            <w:tcW w:w="3543"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Mrs Laura Warden</w:t>
            </w:r>
          </w:p>
        </w:tc>
        <w:tc>
          <w:tcPr>
            <w:tcW w:w="1418"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Applicant:</w:t>
            </w:r>
            <w:r>
              <w:rPr>
                <w:rFonts w:ascii="ArialMT" w:hAnsi="ArialMT" w:cs="ArialMT"/>
                <w:sz w:val="24"/>
                <w:szCs w:val="24"/>
              </w:rPr>
              <w:t xml:space="preserve"> </w:t>
            </w:r>
          </w:p>
        </w:tc>
        <w:tc>
          <w:tcPr>
            <w:tcW w:w="3226" w:type="dxa"/>
            <w:tcBorders>
              <w:top w:val="single" w:sz="8" w:space="0" w:color="BFBFBF"/>
              <w:left w:val="single" w:sz="8" w:space="0" w:color="BFBFBF"/>
              <w:bottom w:val="single" w:sz="8" w:space="0" w:color="BFBFBF"/>
              <w:right w:val="single" w:sz="8" w:space="0" w:color="BFBFBF"/>
            </w:tcBorders>
          </w:tcPr>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Mr Daniel Phipps</w:t>
            </w:r>
          </w:p>
        </w:tc>
      </w:tr>
    </w:tbl>
    <w:p w:rsidR="002A63C7" w:rsidRDefault="002A63C7">
      <w:pPr>
        <w:widowControl w:val="0"/>
        <w:autoSpaceDE w:val="0"/>
        <w:autoSpaceDN w:val="0"/>
        <w:adjustRightInd w:val="0"/>
        <w:spacing w:after="0" w:line="240" w:lineRule="auto"/>
        <w:ind w:right="-2"/>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sz w:val="24"/>
          <w:szCs w:val="24"/>
        </w:rPr>
      </w:pPr>
    </w:p>
    <w:p w:rsidR="002A63C7" w:rsidRDefault="008F66A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Supplementary Paper responding to issues raised by Committee on 4</w:t>
      </w:r>
      <w:r w:rsidRPr="008F66A7">
        <w:rPr>
          <w:rFonts w:ascii="ArialMT" w:hAnsi="ArialMT" w:cs="ArialMT"/>
          <w:b/>
          <w:bCs/>
          <w:sz w:val="24"/>
          <w:szCs w:val="24"/>
          <w:vertAlign w:val="superscript"/>
        </w:rPr>
        <w:t>th</w:t>
      </w:r>
      <w:r>
        <w:rPr>
          <w:rFonts w:ascii="ArialMT" w:hAnsi="ArialMT" w:cs="ArialMT"/>
          <w:b/>
          <w:bCs/>
          <w:sz w:val="24"/>
          <w:szCs w:val="24"/>
        </w:rPr>
        <w:t xml:space="preserve"> November 2015</w:t>
      </w:r>
      <w:r w:rsidR="002A63C7">
        <w:rPr>
          <w:rFonts w:ascii="ArialMT" w:hAnsi="ArialMT" w:cs="ArialMT"/>
          <w:sz w:val="24"/>
          <w:szCs w:val="24"/>
        </w:rPr>
        <w:t xml:space="preserve">: </w:t>
      </w:r>
    </w:p>
    <w:p w:rsidR="002A63C7" w:rsidRDefault="002A63C7">
      <w:pPr>
        <w:widowControl w:val="0"/>
        <w:autoSpaceDE w:val="0"/>
        <w:autoSpaceDN w:val="0"/>
        <w:adjustRightInd w:val="0"/>
        <w:spacing w:after="0" w:line="240" w:lineRule="auto"/>
        <w:ind w:right="-2"/>
        <w:rPr>
          <w:rFonts w:ascii="ArialMT" w:hAnsi="ArialMT" w:cs="ArialMT"/>
          <w:sz w:val="24"/>
          <w:szCs w:val="24"/>
        </w:rPr>
      </w:pPr>
    </w:p>
    <w:p w:rsidR="008F66A7" w:rsidRP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r w:rsidRPr="008F66A7">
        <w:rPr>
          <w:rFonts w:ascii="ArialMT" w:hAnsi="ArialMT" w:cs="ArialMT"/>
          <w:sz w:val="24"/>
          <w:szCs w:val="24"/>
          <w:u w:val="single"/>
        </w:rPr>
        <w:t>Introduction</w:t>
      </w:r>
    </w:p>
    <w:p w:rsidR="008F66A7" w:rsidRDefault="008F66A7" w:rsidP="00C31634">
      <w:pPr>
        <w:widowControl w:val="0"/>
        <w:autoSpaceDE w:val="0"/>
        <w:autoSpaceDN w:val="0"/>
        <w:adjustRightInd w:val="0"/>
        <w:spacing w:after="0" w:line="240" w:lineRule="auto"/>
        <w:jc w:val="both"/>
        <w:rPr>
          <w:rFonts w:ascii="ArialMT" w:hAnsi="ArialMT" w:cs="ArialMT"/>
          <w:sz w:val="24"/>
          <w:szCs w:val="24"/>
        </w:rPr>
      </w:pPr>
    </w:p>
    <w:p w:rsidR="008F66A7" w:rsidRPr="00E65D94" w:rsidRDefault="008F66A7" w:rsidP="00E65D94">
      <w:pPr>
        <w:pStyle w:val="ListParagraph"/>
        <w:widowControl w:val="0"/>
        <w:numPr>
          <w:ilvl w:val="0"/>
          <w:numId w:val="10"/>
        </w:numPr>
        <w:autoSpaceDE w:val="0"/>
        <w:autoSpaceDN w:val="0"/>
        <w:adjustRightInd w:val="0"/>
        <w:spacing w:after="0" w:line="240" w:lineRule="auto"/>
        <w:ind w:hanging="720"/>
        <w:jc w:val="both"/>
        <w:rPr>
          <w:rFonts w:ascii="ArialMT" w:hAnsi="ArialMT" w:cs="ArialMT"/>
          <w:sz w:val="24"/>
          <w:szCs w:val="24"/>
        </w:rPr>
      </w:pPr>
      <w:r w:rsidRPr="00E65D94">
        <w:rPr>
          <w:rFonts w:ascii="ArialMT" w:hAnsi="ArialMT" w:cs="ArialMT"/>
          <w:sz w:val="24"/>
          <w:szCs w:val="24"/>
        </w:rPr>
        <w:t xml:space="preserve">Members will recall that this application was brought to </w:t>
      </w:r>
      <w:r w:rsidR="00790209" w:rsidRPr="00E65D94">
        <w:rPr>
          <w:rFonts w:ascii="ArialMT" w:hAnsi="ArialMT" w:cs="ArialMT"/>
          <w:sz w:val="24"/>
          <w:szCs w:val="24"/>
        </w:rPr>
        <w:t xml:space="preserve">East Area Planning </w:t>
      </w:r>
      <w:r w:rsidRPr="00E65D94">
        <w:rPr>
          <w:rFonts w:ascii="ArialMT" w:hAnsi="ArialMT" w:cs="ArialMT"/>
          <w:sz w:val="24"/>
          <w:szCs w:val="24"/>
        </w:rPr>
        <w:t>Committee on 4</w:t>
      </w:r>
      <w:r w:rsidRPr="00E65D94">
        <w:rPr>
          <w:rFonts w:ascii="ArialMT" w:hAnsi="ArialMT" w:cs="ArialMT"/>
          <w:sz w:val="24"/>
          <w:szCs w:val="24"/>
          <w:vertAlign w:val="superscript"/>
        </w:rPr>
        <w:t>th</w:t>
      </w:r>
      <w:r w:rsidRPr="00E65D94">
        <w:rPr>
          <w:rFonts w:ascii="ArialMT" w:hAnsi="ArialMT" w:cs="ArialMT"/>
          <w:sz w:val="24"/>
          <w:szCs w:val="24"/>
        </w:rPr>
        <w:t xml:space="preserve"> November 2015 but deferred to allow officers to provide further information about compliance with policies on separation distances and the impact on the flats at the rear of Plots 4, 5 and 6, in particular the impact on any windows to habitable rooms.</w:t>
      </w:r>
    </w:p>
    <w:p w:rsidR="008F66A7" w:rsidRDefault="008F66A7" w:rsidP="00E65D94">
      <w:pPr>
        <w:widowControl w:val="0"/>
        <w:autoSpaceDE w:val="0"/>
        <w:autoSpaceDN w:val="0"/>
        <w:adjustRightInd w:val="0"/>
        <w:spacing w:after="0" w:line="240" w:lineRule="auto"/>
        <w:ind w:left="720" w:hanging="720"/>
        <w:jc w:val="both"/>
        <w:rPr>
          <w:rFonts w:ascii="ArialMT" w:hAnsi="ArialMT" w:cs="ArialMT"/>
          <w:sz w:val="24"/>
          <w:szCs w:val="24"/>
        </w:rPr>
      </w:pPr>
    </w:p>
    <w:p w:rsidR="008F66A7" w:rsidRPr="00E65D94" w:rsidRDefault="00790209" w:rsidP="00E65D94">
      <w:pPr>
        <w:pStyle w:val="ListParagraph"/>
        <w:widowControl w:val="0"/>
        <w:numPr>
          <w:ilvl w:val="0"/>
          <w:numId w:val="10"/>
        </w:numPr>
        <w:autoSpaceDE w:val="0"/>
        <w:autoSpaceDN w:val="0"/>
        <w:adjustRightInd w:val="0"/>
        <w:spacing w:after="0" w:line="240" w:lineRule="auto"/>
        <w:ind w:hanging="720"/>
        <w:jc w:val="both"/>
        <w:rPr>
          <w:rFonts w:ascii="ArialMT" w:hAnsi="ArialMT" w:cs="ArialMT"/>
          <w:sz w:val="24"/>
          <w:szCs w:val="24"/>
        </w:rPr>
      </w:pPr>
      <w:r w:rsidRPr="00E65D94">
        <w:rPr>
          <w:rFonts w:ascii="ArialMT" w:hAnsi="ArialMT" w:cs="ArialMT"/>
          <w:sz w:val="24"/>
          <w:szCs w:val="24"/>
        </w:rPr>
        <w:t>During the meeting</w:t>
      </w:r>
      <w:r w:rsidR="008F66A7" w:rsidRPr="00E65D94">
        <w:rPr>
          <w:rFonts w:ascii="ArialMT" w:hAnsi="ArialMT" w:cs="ArialMT"/>
          <w:sz w:val="24"/>
          <w:szCs w:val="24"/>
        </w:rPr>
        <w:t>, some members also commented on the proposal for ‘tandem’ car parking spaces in the rear courtyard serving Plots 4, 5 and 6 and, the narrowness of the internal dwelling space of Plots 1, 2 and 3.</w:t>
      </w:r>
    </w:p>
    <w:p w:rsidR="008F66A7" w:rsidRDefault="008F66A7" w:rsidP="00E65D94">
      <w:pPr>
        <w:widowControl w:val="0"/>
        <w:autoSpaceDE w:val="0"/>
        <w:autoSpaceDN w:val="0"/>
        <w:adjustRightInd w:val="0"/>
        <w:spacing w:after="0" w:line="240" w:lineRule="auto"/>
        <w:ind w:left="720" w:hanging="720"/>
        <w:jc w:val="both"/>
        <w:rPr>
          <w:rFonts w:ascii="ArialMT" w:hAnsi="ArialMT" w:cs="ArialMT"/>
          <w:sz w:val="24"/>
          <w:szCs w:val="24"/>
        </w:rPr>
      </w:pPr>
    </w:p>
    <w:p w:rsidR="008F66A7" w:rsidRPr="00E65D94" w:rsidRDefault="00790209" w:rsidP="00E65D94">
      <w:pPr>
        <w:pStyle w:val="ListParagraph"/>
        <w:widowControl w:val="0"/>
        <w:numPr>
          <w:ilvl w:val="0"/>
          <w:numId w:val="10"/>
        </w:numPr>
        <w:autoSpaceDE w:val="0"/>
        <w:autoSpaceDN w:val="0"/>
        <w:adjustRightInd w:val="0"/>
        <w:spacing w:after="0" w:line="240" w:lineRule="auto"/>
        <w:ind w:hanging="720"/>
        <w:jc w:val="both"/>
        <w:rPr>
          <w:rFonts w:ascii="ArialMT" w:hAnsi="ArialMT" w:cs="ArialMT"/>
          <w:sz w:val="24"/>
          <w:szCs w:val="24"/>
        </w:rPr>
      </w:pPr>
      <w:r w:rsidRPr="00E65D94">
        <w:rPr>
          <w:rFonts w:ascii="ArialMT" w:hAnsi="ArialMT" w:cs="ArialMT"/>
          <w:sz w:val="24"/>
          <w:szCs w:val="24"/>
        </w:rPr>
        <w:t>Officers’</w:t>
      </w:r>
      <w:r w:rsidR="008F66A7" w:rsidRPr="00E65D94">
        <w:rPr>
          <w:rFonts w:ascii="ArialMT" w:hAnsi="ArialMT" w:cs="ArialMT"/>
          <w:sz w:val="24"/>
          <w:szCs w:val="24"/>
        </w:rPr>
        <w:t xml:space="preserve"> response to these issues is set out belo</w:t>
      </w:r>
      <w:r w:rsidRPr="00E65D94">
        <w:rPr>
          <w:rFonts w:ascii="ArialMT" w:hAnsi="ArialMT" w:cs="ArialMT"/>
          <w:sz w:val="24"/>
          <w:szCs w:val="24"/>
        </w:rPr>
        <w:t>w:</w:t>
      </w:r>
      <w:r w:rsidR="008F66A7" w:rsidRPr="00E65D94">
        <w:rPr>
          <w:rFonts w:ascii="ArialMT" w:hAnsi="ArialMT" w:cs="ArialMT"/>
          <w:sz w:val="24"/>
          <w:szCs w:val="24"/>
        </w:rPr>
        <w:t xml:space="preserve"> </w:t>
      </w:r>
    </w:p>
    <w:p w:rsidR="008F66A7" w:rsidRDefault="008F66A7" w:rsidP="00E65D94">
      <w:pPr>
        <w:widowControl w:val="0"/>
        <w:autoSpaceDE w:val="0"/>
        <w:autoSpaceDN w:val="0"/>
        <w:adjustRightInd w:val="0"/>
        <w:spacing w:after="0" w:line="240" w:lineRule="auto"/>
        <w:ind w:left="720" w:hanging="720"/>
        <w:jc w:val="both"/>
        <w:rPr>
          <w:rFonts w:ascii="ArialMT" w:hAnsi="ArialMT" w:cs="ArialMT"/>
          <w:sz w:val="24"/>
          <w:szCs w:val="24"/>
        </w:rPr>
      </w:pP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r w:rsidRPr="008F66A7">
        <w:rPr>
          <w:rFonts w:ascii="ArialMT" w:hAnsi="ArialMT" w:cs="ArialMT"/>
          <w:sz w:val="24"/>
          <w:szCs w:val="24"/>
          <w:u w:val="single"/>
        </w:rPr>
        <w:t>Separation Distances</w:t>
      </w: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p>
    <w:p w:rsidR="00FB17BF" w:rsidRDefault="00E65D94" w:rsidP="00FB17BF">
      <w:pPr>
        <w:widowControl w:val="0"/>
        <w:autoSpaceDE w:val="0"/>
        <w:autoSpaceDN w:val="0"/>
        <w:adjustRightInd w:val="0"/>
        <w:spacing w:after="0" w:line="240" w:lineRule="auto"/>
        <w:ind w:left="720" w:right="-3" w:hanging="720"/>
        <w:jc w:val="both"/>
        <w:rPr>
          <w:rFonts w:ascii="ArialMT" w:hAnsi="ArialMT" w:cs="ArialMT"/>
          <w:sz w:val="24"/>
          <w:szCs w:val="24"/>
        </w:rPr>
      </w:pPr>
      <w:r>
        <w:rPr>
          <w:rFonts w:ascii="ArialMT" w:hAnsi="ArialMT" w:cs="ArialMT"/>
          <w:sz w:val="24"/>
          <w:szCs w:val="24"/>
        </w:rPr>
        <w:t>4</w:t>
      </w:r>
      <w:r w:rsidR="00FB17BF">
        <w:rPr>
          <w:rFonts w:ascii="ArialMT" w:hAnsi="ArialMT" w:cs="ArialMT"/>
          <w:sz w:val="24"/>
          <w:szCs w:val="24"/>
        </w:rPr>
        <w:t>.</w:t>
      </w:r>
      <w:r w:rsidR="00FB17BF">
        <w:rPr>
          <w:rFonts w:ascii="ArialMT" w:hAnsi="ArialMT" w:cs="ArialMT"/>
          <w:sz w:val="24"/>
          <w:szCs w:val="24"/>
        </w:rPr>
        <w:tab/>
        <w:t>As set out in officers’ original report, to be acceptable, new development must demonstrate that it can be developed in a manner that will safeguard the residential amenities of the adjoining properties in terms of loss of amenity, light, outlook, sense of enclosure, and loss of privacy in accordance with Policy CP10 of the Oxford Local Plan 2001-2016 and Policy HP14 of the Sites and Housing Plan.</w:t>
      </w:r>
    </w:p>
    <w:p w:rsidR="00FB17BF" w:rsidRDefault="00FB17BF" w:rsidP="00FB17BF">
      <w:pPr>
        <w:widowControl w:val="0"/>
        <w:autoSpaceDE w:val="0"/>
        <w:autoSpaceDN w:val="0"/>
        <w:adjustRightInd w:val="0"/>
        <w:spacing w:after="0" w:line="240" w:lineRule="auto"/>
        <w:ind w:right="-3"/>
        <w:jc w:val="both"/>
        <w:rPr>
          <w:rFonts w:ascii="ArialMT" w:hAnsi="ArialMT" w:cs="ArialMT"/>
          <w:sz w:val="24"/>
          <w:szCs w:val="24"/>
        </w:rPr>
      </w:pPr>
    </w:p>
    <w:p w:rsidR="00E67BB2" w:rsidRPr="00E67BB2" w:rsidRDefault="00E65D94" w:rsidP="00E67BB2">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sidRPr="00E67BB2">
        <w:rPr>
          <w:rFonts w:ascii="ArialMT" w:hAnsi="ArialMT" w:cs="ArialMT"/>
          <w:sz w:val="24"/>
          <w:szCs w:val="24"/>
        </w:rPr>
        <w:t xml:space="preserve">Neither Policy HP14 of the Sites and Housing Plan, nor Policy CP10 of the Oxford Local Plan specify any minimum overlooking distances between dwellings to be adhered to. Similarly, the Council has no adopted planning guidance </w:t>
      </w:r>
      <w:r w:rsidR="00E67BB2" w:rsidRPr="00E67BB2">
        <w:rPr>
          <w:rFonts w:ascii="ArialMT" w:hAnsi="ArialMT" w:cs="ArialMT"/>
          <w:sz w:val="24"/>
          <w:szCs w:val="24"/>
        </w:rPr>
        <w:t>that</w:t>
      </w:r>
      <w:r w:rsidRPr="00E67BB2">
        <w:rPr>
          <w:rFonts w:ascii="ArialMT" w:hAnsi="ArialMT" w:cs="ArialMT"/>
          <w:sz w:val="24"/>
          <w:szCs w:val="24"/>
        </w:rPr>
        <w:t xml:space="preserve"> specif</w:t>
      </w:r>
      <w:r w:rsidR="00E67BB2" w:rsidRPr="00E67BB2">
        <w:rPr>
          <w:rFonts w:ascii="ArialMT" w:hAnsi="ArialMT" w:cs="ArialMT"/>
          <w:sz w:val="24"/>
          <w:szCs w:val="24"/>
        </w:rPr>
        <w:t>ies minimum distances. Each situation and development proposal must therefore be looked at individually.</w:t>
      </w:r>
      <w:r w:rsidRPr="00E67BB2">
        <w:rPr>
          <w:rFonts w:ascii="ArialMT" w:hAnsi="ArialMT" w:cs="ArialMT"/>
          <w:sz w:val="24"/>
          <w:szCs w:val="24"/>
        </w:rPr>
        <w:t xml:space="preserve"> </w:t>
      </w:r>
    </w:p>
    <w:p w:rsidR="00E67BB2" w:rsidRDefault="00E67BB2" w:rsidP="00E67BB2">
      <w:pPr>
        <w:pStyle w:val="ListParagraph"/>
        <w:widowControl w:val="0"/>
        <w:autoSpaceDE w:val="0"/>
        <w:autoSpaceDN w:val="0"/>
        <w:adjustRightInd w:val="0"/>
        <w:spacing w:after="0" w:line="240" w:lineRule="auto"/>
        <w:ind w:right="-3" w:hanging="720"/>
        <w:jc w:val="both"/>
        <w:rPr>
          <w:rFonts w:ascii="ArialMT" w:hAnsi="ArialMT" w:cs="ArialMT"/>
          <w:sz w:val="24"/>
          <w:szCs w:val="24"/>
        </w:rPr>
      </w:pPr>
    </w:p>
    <w:p w:rsidR="00E67BB2" w:rsidRDefault="00E67BB2" w:rsidP="00E67BB2">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Pr>
          <w:rFonts w:ascii="ArialMT" w:hAnsi="ArialMT" w:cs="ArialMT"/>
          <w:sz w:val="24"/>
          <w:szCs w:val="24"/>
        </w:rPr>
        <w:t>Appendix A to this Supplementary Paper</w:t>
      </w:r>
      <w:r w:rsidR="00785A09">
        <w:rPr>
          <w:rFonts w:ascii="ArialMT" w:hAnsi="ArialMT" w:cs="ArialMT"/>
          <w:sz w:val="24"/>
          <w:szCs w:val="24"/>
        </w:rPr>
        <w:t xml:space="preserve"> (supplied by the applicant)</w:t>
      </w:r>
      <w:r>
        <w:rPr>
          <w:rFonts w:ascii="ArialMT" w:hAnsi="ArialMT" w:cs="ArialMT"/>
          <w:sz w:val="24"/>
          <w:szCs w:val="24"/>
        </w:rPr>
        <w:t xml:space="preserve"> shows the various distances between the proposed dwellings and </w:t>
      </w:r>
      <w:r w:rsidR="00254660">
        <w:rPr>
          <w:rFonts w:ascii="ArialMT" w:hAnsi="ArialMT" w:cs="ArialMT"/>
          <w:sz w:val="24"/>
          <w:szCs w:val="24"/>
        </w:rPr>
        <w:t>existing homes.</w:t>
      </w:r>
    </w:p>
    <w:p w:rsidR="00E67BB2" w:rsidRPr="00E67BB2" w:rsidRDefault="00E67BB2" w:rsidP="00E67BB2">
      <w:pPr>
        <w:widowControl w:val="0"/>
        <w:autoSpaceDE w:val="0"/>
        <w:autoSpaceDN w:val="0"/>
        <w:adjustRightInd w:val="0"/>
        <w:spacing w:after="0" w:line="240" w:lineRule="auto"/>
        <w:ind w:right="-3"/>
        <w:jc w:val="both"/>
        <w:rPr>
          <w:rFonts w:ascii="ArialMT" w:hAnsi="ArialMT" w:cs="ArialMT"/>
          <w:sz w:val="24"/>
          <w:szCs w:val="24"/>
        </w:rPr>
      </w:pPr>
    </w:p>
    <w:p w:rsidR="00785A09" w:rsidRDefault="00FB17BF" w:rsidP="00E67BB2">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sidRPr="00E67BB2">
        <w:rPr>
          <w:rFonts w:ascii="ArialMT" w:hAnsi="ArialMT" w:cs="ArialMT"/>
          <w:sz w:val="24"/>
          <w:szCs w:val="24"/>
        </w:rPr>
        <w:t xml:space="preserve">In </w:t>
      </w:r>
      <w:r w:rsidR="00254660">
        <w:rPr>
          <w:rFonts w:ascii="ArialMT" w:hAnsi="ArialMT" w:cs="ArialMT"/>
          <w:sz w:val="24"/>
          <w:szCs w:val="24"/>
        </w:rPr>
        <w:t>respect of</w:t>
      </w:r>
      <w:r w:rsidR="00E67BB2">
        <w:rPr>
          <w:rFonts w:ascii="ArialMT" w:hAnsi="ArialMT" w:cs="ArialMT"/>
          <w:sz w:val="24"/>
          <w:szCs w:val="24"/>
        </w:rPr>
        <w:t xml:space="preserve"> no.2 Glanville Road</w:t>
      </w:r>
      <w:r w:rsidRPr="00E67BB2">
        <w:rPr>
          <w:rFonts w:ascii="ArialMT" w:hAnsi="ArialMT" w:cs="ArialMT"/>
          <w:sz w:val="24"/>
          <w:szCs w:val="24"/>
        </w:rPr>
        <w:t xml:space="preserve">, the relationship between the new </w:t>
      </w:r>
      <w:r w:rsidR="00254660">
        <w:rPr>
          <w:rFonts w:ascii="ArialMT" w:hAnsi="ArialMT" w:cs="ArialMT"/>
          <w:sz w:val="24"/>
          <w:szCs w:val="24"/>
        </w:rPr>
        <w:t>two new terraces</w:t>
      </w:r>
      <w:r w:rsidRPr="00E67BB2">
        <w:rPr>
          <w:rFonts w:ascii="ArialMT" w:hAnsi="ArialMT" w:cs="ArialMT"/>
          <w:sz w:val="24"/>
          <w:szCs w:val="24"/>
        </w:rPr>
        <w:t xml:space="preserve"> and no.2 is considered acceptable</w:t>
      </w:r>
      <w:r w:rsidR="00E67BB2">
        <w:rPr>
          <w:rFonts w:ascii="ArialMT" w:hAnsi="ArialMT" w:cs="ArialMT"/>
          <w:sz w:val="24"/>
          <w:szCs w:val="24"/>
        </w:rPr>
        <w:t>,</w:t>
      </w:r>
      <w:r w:rsidRPr="00E67BB2">
        <w:rPr>
          <w:rFonts w:ascii="ArialMT" w:hAnsi="ArialMT" w:cs="ArialMT"/>
          <w:sz w:val="24"/>
          <w:szCs w:val="24"/>
        </w:rPr>
        <w:t xml:space="preserve"> subject to existing boundary walls being retained</w:t>
      </w:r>
      <w:r w:rsidR="00E67BB2">
        <w:rPr>
          <w:rFonts w:ascii="ArialMT" w:hAnsi="ArialMT" w:cs="ArialMT"/>
          <w:sz w:val="24"/>
          <w:szCs w:val="24"/>
        </w:rPr>
        <w:t xml:space="preserve"> or replaced with a boundary of similar height</w:t>
      </w:r>
      <w:r w:rsidRPr="00E67BB2">
        <w:rPr>
          <w:rFonts w:ascii="ArialMT" w:hAnsi="ArialMT" w:cs="ArialMT"/>
          <w:sz w:val="24"/>
          <w:szCs w:val="24"/>
        </w:rPr>
        <w:t xml:space="preserve"> and appropriate tree planting/landscaping being introduced along the </w:t>
      </w:r>
      <w:r w:rsidR="00E67BB2">
        <w:rPr>
          <w:rFonts w:ascii="ArialMT" w:hAnsi="ArialMT" w:cs="ArialMT"/>
          <w:sz w:val="24"/>
          <w:szCs w:val="24"/>
        </w:rPr>
        <w:t xml:space="preserve">north-eastern </w:t>
      </w:r>
      <w:r w:rsidRPr="00E67BB2">
        <w:rPr>
          <w:rFonts w:ascii="ArialMT" w:hAnsi="ArialMT" w:cs="ArialMT"/>
          <w:sz w:val="24"/>
          <w:szCs w:val="24"/>
        </w:rPr>
        <w:t>boundary.</w:t>
      </w:r>
      <w:r w:rsidR="00254660">
        <w:rPr>
          <w:rFonts w:ascii="ArialMT" w:hAnsi="ArialMT" w:cs="ArialMT"/>
          <w:sz w:val="24"/>
          <w:szCs w:val="24"/>
        </w:rPr>
        <w:t xml:space="preserve"> The main issue to consider here is the potential for overlooking from the upper floor windows into the rear garden of no.2. Whilst any overlooking here is tangential and is not an unusual juxtaposition, the introduction of one or two urban scale trees along the boundary with provide enough screening to maintain acceptable levels of privacy for occupiers. </w:t>
      </w:r>
      <w:r w:rsidR="00785A09">
        <w:rPr>
          <w:rFonts w:ascii="ArialMT" w:hAnsi="ArialMT" w:cs="ArialMT"/>
          <w:sz w:val="24"/>
          <w:szCs w:val="24"/>
        </w:rPr>
        <w:t>Upper floor w</w:t>
      </w:r>
      <w:r w:rsidR="00254660">
        <w:rPr>
          <w:rFonts w:ascii="ArialMT" w:hAnsi="ArialMT" w:cs="ArialMT"/>
          <w:sz w:val="24"/>
          <w:szCs w:val="24"/>
        </w:rPr>
        <w:t>indows from the rear terrace (</w:t>
      </w:r>
      <w:proofErr w:type="spellStart"/>
      <w:r w:rsidR="00254660">
        <w:rPr>
          <w:rFonts w:ascii="ArialMT" w:hAnsi="ArialMT" w:cs="ArialMT"/>
          <w:sz w:val="24"/>
          <w:szCs w:val="24"/>
        </w:rPr>
        <w:t>ie</w:t>
      </w:r>
      <w:proofErr w:type="spellEnd"/>
      <w:r w:rsidR="00254660">
        <w:rPr>
          <w:rFonts w:ascii="ArialMT" w:hAnsi="ArialMT" w:cs="ArialMT"/>
          <w:sz w:val="24"/>
          <w:szCs w:val="24"/>
        </w:rPr>
        <w:t>. plot 6) will also face the main windows in the rear elevation of no.2 from a distance of 23m</w:t>
      </w:r>
      <w:r w:rsidR="00785A09">
        <w:rPr>
          <w:rFonts w:ascii="ArialMT" w:hAnsi="ArialMT" w:cs="ArialMT"/>
          <w:sz w:val="24"/>
          <w:szCs w:val="24"/>
        </w:rPr>
        <w:t xml:space="preserve"> and face onto the ground floor extension windows on no.2 from a distance of </w:t>
      </w:r>
      <w:r w:rsidR="005039DD">
        <w:rPr>
          <w:rFonts w:ascii="ArialMT" w:hAnsi="ArialMT" w:cs="ArialMT"/>
          <w:sz w:val="24"/>
          <w:szCs w:val="24"/>
        </w:rPr>
        <w:t>1</w:t>
      </w:r>
      <w:r w:rsidR="008D0A95">
        <w:rPr>
          <w:rFonts w:ascii="ArialMT" w:hAnsi="ArialMT" w:cs="ArialMT"/>
          <w:sz w:val="24"/>
          <w:szCs w:val="24"/>
        </w:rPr>
        <w:t>9</w:t>
      </w:r>
      <w:r w:rsidR="00785A09">
        <w:rPr>
          <w:rFonts w:ascii="ArialMT" w:hAnsi="ArialMT" w:cs="ArialMT"/>
          <w:sz w:val="24"/>
          <w:szCs w:val="24"/>
        </w:rPr>
        <w:t>m. Both these distances are considered sufficient in terms of tangential overlooking.</w:t>
      </w:r>
    </w:p>
    <w:p w:rsidR="00785A09" w:rsidRPr="00785A09" w:rsidRDefault="00785A09" w:rsidP="00785A09">
      <w:pPr>
        <w:widowControl w:val="0"/>
        <w:autoSpaceDE w:val="0"/>
        <w:autoSpaceDN w:val="0"/>
        <w:adjustRightInd w:val="0"/>
        <w:spacing w:after="0" w:line="240" w:lineRule="auto"/>
        <w:ind w:right="-3"/>
        <w:jc w:val="both"/>
        <w:rPr>
          <w:rFonts w:ascii="ArialMT" w:hAnsi="ArialMT" w:cs="ArialMT"/>
          <w:sz w:val="24"/>
          <w:szCs w:val="24"/>
        </w:rPr>
      </w:pPr>
    </w:p>
    <w:p w:rsidR="00FB17BF" w:rsidRDefault="00785A09" w:rsidP="00E67BB2">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Pr>
          <w:rFonts w:ascii="ArialMT" w:hAnsi="ArialMT" w:cs="ArialMT"/>
          <w:sz w:val="24"/>
          <w:szCs w:val="24"/>
        </w:rPr>
        <w:t>The distances between the two new terrace blocks themselves is 21m. That distance comprises the 8.5m deep rear garden areas to plots 1-3, the 9m wide car parking court for plots 4-6 and a 3.5m deep frontage area to plots 4-6.</w:t>
      </w:r>
      <w:r w:rsidR="00254660">
        <w:rPr>
          <w:rFonts w:ascii="ArialMT" w:hAnsi="ArialMT" w:cs="ArialMT"/>
          <w:sz w:val="24"/>
          <w:szCs w:val="24"/>
        </w:rPr>
        <w:t xml:space="preserve"> </w:t>
      </w:r>
      <w:r>
        <w:rPr>
          <w:rFonts w:ascii="ArialMT" w:hAnsi="ArialMT" w:cs="ArialMT"/>
          <w:sz w:val="24"/>
          <w:szCs w:val="24"/>
        </w:rPr>
        <w:t>Again, this distance is considered to be more than adequate to maintain satisfactory levels privacy for occupiers of the two new terraces</w:t>
      </w:r>
      <w:r w:rsidR="006B4F93">
        <w:rPr>
          <w:rFonts w:ascii="ArialMT" w:hAnsi="ArialMT" w:cs="ArialMT"/>
          <w:sz w:val="24"/>
          <w:szCs w:val="24"/>
        </w:rPr>
        <w:t>.</w:t>
      </w:r>
    </w:p>
    <w:p w:rsidR="006B4F93" w:rsidRPr="006B4F93" w:rsidRDefault="006B4F93" w:rsidP="006B4F93">
      <w:pPr>
        <w:widowControl w:val="0"/>
        <w:autoSpaceDE w:val="0"/>
        <w:autoSpaceDN w:val="0"/>
        <w:adjustRightInd w:val="0"/>
        <w:spacing w:after="0" w:line="240" w:lineRule="auto"/>
        <w:ind w:right="-3"/>
        <w:jc w:val="both"/>
        <w:rPr>
          <w:rFonts w:ascii="ArialMT" w:hAnsi="ArialMT" w:cs="ArialMT"/>
          <w:sz w:val="24"/>
          <w:szCs w:val="24"/>
        </w:rPr>
      </w:pPr>
    </w:p>
    <w:p w:rsidR="006B4F93" w:rsidRPr="00E67BB2" w:rsidRDefault="006B4F93" w:rsidP="00E67BB2">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Pr>
          <w:rFonts w:ascii="ArialMT" w:hAnsi="ArialMT" w:cs="ArialMT"/>
          <w:sz w:val="24"/>
          <w:szCs w:val="24"/>
        </w:rPr>
        <w:t xml:space="preserve">The relationships between the new development and the adjacent flatted development in Reliance Way </w:t>
      </w:r>
      <w:r w:rsidR="00C359EB">
        <w:rPr>
          <w:rFonts w:ascii="ArialMT" w:hAnsi="ArialMT" w:cs="ArialMT"/>
          <w:sz w:val="24"/>
          <w:szCs w:val="24"/>
        </w:rPr>
        <w:t>are</w:t>
      </w:r>
      <w:r>
        <w:rPr>
          <w:rFonts w:ascii="ArialMT" w:hAnsi="ArialMT" w:cs="ArialMT"/>
          <w:sz w:val="24"/>
          <w:szCs w:val="24"/>
        </w:rPr>
        <w:t xml:space="preserve"> also considered</w:t>
      </w:r>
      <w:r w:rsidR="00C359EB">
        <w:rPr>
          <w:rFonts w:ascii="ArialMT" w:hAnsi="ArialMT" w:cs="ArialMT"/>
          <w:sz w:val="24"/>
          <w:szCs w:val="24"/>
        </w:rPr>
        <w:t xml:space="preserve"> acceptable. In part</w:t>
      </w:r>
      <w:r w:rsidR="000C0D8D">
        <w:rPr>
          <w:rFonts w:ascii="ArialMT" w:hAnsi="ArialMT" w:cs="ArialMT"/>
          <w:sz w:val="24"/>
          <w:szCs w:val="24"/>
        </w:rPr>
        <w:t>,</w:t>
      </w:r>
      <w:r w:rsidR="00C359EB">
        <w:rPr>
          <w:rFonts w:ascii="ArialMT" w:hAnsi="ArialMT" w:cs="ArialMT"/>
          <w:sz w:val="24"/>
          <w:szCs w:val="24"/>
        </w:rPr>
        <w:t xml:space="preserve"> this is because the builder’s yard is </w:t>
      </w:r>
      <w:r w:rsidR="000C0D8D">
        <w:rPr>
          <w:rFonts w:ascii="ArialMT" w:hAnsi="ArialMT" w:cs="ArialMT"/>
          <w:sz w:val="24"/>
          <w:szCs w:val="24"/>
        </w:rPr>
        <w:t xml:space="preserve">bounded </w:t>
      </w:r>
      <w:r w:rsidR="00C359EB">
        <w:rPr>
          <w:rFonts w:ascii="ArialMT" w:hAnsi="ArialMT" w:cs="ArialMT"/>
          <w:sz w:val="24"/>
          <w:szCs w:val="24"/>
        </w:rPr>
        <w:t>by a</w:t>
      </w:r>
      <w:r w:rsidR="000C0D8D">
        <w:rPr>
          <w:rFonts w:ascii="ArialMT" w:hAnsi="ArialMT" w:cs="ArialMT"/>
          <w:sz w:val="24"/>
          <w:szCs w:val="24"/>
        </w:rPr>
        <w:t xml:space="preserve"> 3.6m (12ft) brick </w:t>
      </w:r>
      <w:proofErr w:type="gramStart"/>
      <w:r w:rsidR="000C0D8D">
        <w:rPr>
          <w:rFonts w:ascii="ArialMT" w:hAnsi="ArialMT" w:cs="ArialMT"/>
          <w:sz w:val="24"/>
          <w:szCs w:val="24"/>
        </w:rPr>
        <w:t xml:space="preserve">wall, </w:t>
      </w:r>
      <w:r w:rsidR="00F4699C">
        <w:rPr>
          <w:rFonts w:ascii="ArialMT" w:hAnsi="ArialMT" w:cs="ArialMT"/>
          <w:sz w:val="24"/>
          <w:szCs w:val="24"/>
        </w:rPr>
        <w:t>that</w:t>
      </w:r>
      <w:proofErr w:type="gramEnd"/>
      <w:r w:rsidR="000C0D8D">
        <w:rPr>
          <w:rFonts w:ascii="ArialMT" w:hAnsi="ArialMT" w:cs="ArialMT"/>
          <w:sz w:val="24"/>
          <w:szCs w:val="24"/>
        </w:rPr>
        <w:t xml:space="preserve"> give</w:t>
      </w:r>
      <w:r w:rsidR="00F4699C">
        <w:rPr>
          <w:rFonts w:ascii="ArialMT" w:hAnsi="ArialMT" w:cs="ArialMT"/>
          <w:sz w:val="24"/>
          <w:szCs w:val="24"/>
        </w:rPr>
        <w:t>s</w:t>
      </w:r>
      <w:r w:rsidR="000C0D8D">
        <w:rPr>
          <w:rFonts w:ascii="ArialMT" w:hAnsi="ArialMT" w:cs="ArialMT"/>
          <w:sz w:val="24"/>
          <w:szCs w:val="24"/>
        </w:rPr>
        <w:t xml:space="preserve"> considerable privacy to the proposed development.</w:t>
      </w:r>
      <w:r w:rsidR="00C359EB">
        <w:rPr>
          <w:rFonts w:ascii="ArialMT" w:hAnsi="ArialMT" w:cs="ArialMT"/>
          <w:sz w:val="24"/>
          <w:szCs w:val="24"/>
        </w:rPr>
        <w:t xml:space="preserve"> </w:t>
      </w:r>
      <w:r>
        <w:rPr>
          <w:rFonts w:ascii="ArialMT" w:hAnsi="ArialMT" w:cs="ArialMT"/>
          <w:sz w:val="24"/>
          <w:szCs w:val="24"/>
        </w:rPr>
        <w:t xml:space="preserve">106 Reliance Way, to the </w:t>
      </w:r>
      <w:r w:rsidR="000C0D8D">
        <w:rPr>
          <w:rFonts w:ascii="ArialMT" w:hAnsi="ArialMT" w:cs="ArialMT"/>
          <w:sz w:val="24"/>
          <w:szCs w:val="24"/>
        </w:rPr>
        <w:t>west of the builder’s yard, sits</w:t>
      </w:r>
      <w:r>
        <w:rPr>
          <w:rFonts w:ascii="ArialMT" w:hAnsi="ArialMT" w:cs="ArialMT"/>
          <w:sz w:val="24"/>
          <w:szCs w:val="24"/>
        </w:rPr>
        <w:t xml:space="preserve"> parallel to plots 4-6</w:t>
      </w:r>
      <w:r w:rsidR="00C359EB">
        <w:rPr>
          <w:rFonts w:ascii="ArialMT" w:hAnsi="ArialMT" w:cs="ArialMT"/>
          <w:sz w:val="24"/>
          <w:szCs w:val="24"/>
        </w:rPr>
        <w:t xml:space="preserve">. Side facing windows within </w:t>
      </w:r>
      <w:r w:rsidR="000C0D8D">
        <w:rPr>
          <w:rFonts w:ascii="ArialMT" w:hAnsi="ArialMT" w:cs="ArialMT"/>
          <w:sz w:val="24"/>
          <w:szCs w:val="24"/>
        </w:rPr>
        <w:t xml:space="preserve">the ground and first floor </w:t>
      </w:r>
      <w:r w:rsidR="00C359EB">
        <w:rPr>
          <w:rFonts w:ascii="ArialMT" w:hAnsi="ArialMT" w:cs="ArialMT"/>
          <w:sz w:val="24"/>
          <w:szCs w:val="24"/>
        </w:rPr>
        <w:t xml:space="preserve">flats </w:t>
      </w:r>
      <w:r w:rsidR="000C0D8D">
        <w:rPr>
          <w:rFonts w:ascii="ArialMT" w:hAnsi="ArialMT" w:cs="ArialMT"/>
          <w:sz w:val="24"/>
          <w:szCs w:val="24"/>
        </w:rPr>
        <w:t xml:space="preserve">here </w:t>
      </w:r>
      <w:r w:rsidR="00C359EB">
        <w:rPr>
          <w:rFonts w:ascii="ArialMT" w:hAnsi="ArialMT" w:cs="ArialMT"/>
          <w:sz w:val="24"/>
          <w:szCs w:val="24"/>
        </w:rPr>
        <w:t xml:space="preserve">would look directly onto the </w:t>
      </w:r>
      <w:r w:rsidR="000C0D8D">
        <w:rPr>
          <w:rFonts w:ascii="ArialMT" w:hAnsi="ArialMT" w:cs="ArialMT"/>
          <w:sz w:val="24"/>
          <w:szCs w:val="24"/>
        </w:rPr>
        <w:t>high boundary</w:t>
      </w:r>
      <w:r w:rsidR="00C359EB">
        <w:rPr>
          <w:rFonts w:ascii="ArialMT" w:hAnsi="ArialMT" w:cs="ArialMT"/>
          <w:sz w:val="24"/>
          <w:szCs w:val="24"/>
        </w:rPr>
        <w:t xml:space="preserve"> wall of plot 4 so there is no loss of privacy to plot 4 from that aspect. </w:t>
      </w:r>
      <w:r w:rsidR="000C0D8D">
        <w:rPr>
          <w:rFonts w:ascii="ArialMT" w:hAnsi="ArialMT" w:cs="ArialMT"/>
          <w:sz w:val="24"/>
          <w:szCs w:val="24"/>
        </w:rPr>
        <w:t xml:space="preserve">At second floor level, the side window </w:t>
      </w:r>
      <w:r w:rsidR="00F4699C">
        <w:rPr>
          <w:rFonts w:ascii="ArialMT" w:hAnsi="ArialMT" w:cs="ArialMT"/>
          <w:sz w:val="24"/>
          <w:szCs w:val="24"/>
        </w:rPr>
        <w:t>facing the site</w:t>
      </w:r>
      <w:r w:rsidR="00BC1F7F">
        <w:rPr>
          <w:rFonts w:ascii="ArialMT" w:hAnsi="ArialMT" w:cs="ArialMT"/>
          <w:sz w:val="24"/>
          <w:szCs w:val="24"/>
        </w:rPr>
        <w:t xml:space="preserve"> would face</w:t>
      </w:r>
      <w:r w:rsidR="000C0D8D">
        <w:rPr>
          <w:rFonts w:ascii="ArialMT" w:hAnsi="ArialMT" w:cs="ArialMT"/>
          <w:sz w:val="24"/>
          <w:szCs w:val="24"/>
        </w:rPr>
        <w:t xml:space="preserve"> </w:t>
      </w:r>
      <w:r w:rsidR="00BC1F7F">
        <w:rPr>
          <w:rFonts w:ascii="ArialMT" w:hAnsi="ArialMT" w:cs="ArialMT"/>
          <w:sz w:val="24"/>
          <w:szCs w:val="24"/>
        </w:rPr>
        <w:t xml:space="preserve">directly onto the side </w:t>
      </w:r>
      <w:r w:rsidR="000C0D8D">
        <w:rPr>
          <w:rFonts w:ascii="ArialMT" w:hAnsi="ArialMT" w:cs="ArialMT"/>
          <w:sz w:val="24"/>
          <w:szCs w:val="24"/>
        </w:rPr>
        <w:t xml:space="preserve">wall of plot 4, </w:t>
      </w:r>
      <w:r w:rsidR="00BC1F7F">
        <w:rPr>
          <w:rFonts w:ascii="ArialMT" w:hAnsi="ArialMT" w:cs="ArialMT"/>
          <w:sz w:val="24"/>
          <w:szCs w:val="24"/>
        </w:rPr>
        <w:t>so</w:t>
      </w:r>
      <w:r w:rsidR="000C0D8D">
        <w:rPr>
          <w:rFonts w:ascii="ArialMT" w:hAnsi="ArialMT" w:cs="ArialMT"/>
          <w:sz w:val="24"/>
          <w:szCs w:val="24"/>
        </w:rPr>
        <w:t xml:space="preserve"> again, does not present any </w:t>
      </w:r>
      <w:r w:rsidR="00BC1F7F">
        <w:rPr>
          <w:rFonts w:ascii="ArialMT" w:hAnsi="ArialMT" w:cs="ArialMT"/>
          <w:sz w:val="24"/>
          <w:szCs w:val="24"/>
        </w:rPr>
        <w:t xml:space="preserve">concern in terms of </w:t>
      </w:r>
      <w:r w:rsidR="000C0D8D">
        <w:rPr>
          <w:rFonts w:ascii="ArialMT" w:hAnsi="ArialMT" w:cs="ArialMT"/>
          <w:sz w:val="24"/>
          <w:szCs w:val="24"/>
        </w:rPr>
        <w:t xml:space="preserve">overlooking or loss of privacy. </w:t>
      </w:r>
    </w:p>
    <w:p w:rsidR="00FB17BF" w:rsidRDefault="00FB17BF" w:rsidP="00FB17BF">
      <w:pPr>
        <w:widowControl w:val="0"/>
        <w:autoSpaceDE w:val="0"/>
        <w:autoSpaceDN w:val="0"/>
        <w:adjustRightInd w:val="0"/>
        <w:spacing w:after="0" w:line="240" w:lineRule="auto"/>
        <w:ind w:right="-3"/>
        <w:jc w:val="both"/>
        <w:rPr>
          <w:rFonts w:ascii="ArialMT" w:hAnsi="ArialMT" w:cs="ArialMT"/>
          <w:sz w:val="24"/>
          <w:szCs w:val="24"/>
        </w:rPr>
      </w:pPr>
    </w:p>
    <w:p w:rsidR="00FB17BF" w:rsidRPr="00B042BB" w:rsidRDefault="00FB17BF" w:rsidP="00B042BB">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sidRPr="00B042BB">
        <w:rPr>
          <w:rFonts w:ascii="ArialMT" w:hAnsi="ArialMT" w:cs="ArialMT"/>
          <w:sz w:val="24"/>
          <w:szCs w:val="24"/>
        </w:rPr>
        <w:t xml:space="preserve">The </w:t>
      </w:r>
      <w:r w:rsidR="00BC1F7F" w:rsidRPr="00B042BB">
        <w:rPr>
          <w:rFonts w:ascii="ArialMT" w:hAnsi="ArialMT" w:cs="ArialMT"/>
          <w:sz w:val="24"/>
          <w:szCs w:val="24"/>
        </w:rPr>
        <w:t xml:space="preserve">other </w:t>
      </w:r>
      <w:r w:rsidRPr="00B042BB">
        <w:rPr>
          <w:rFonts w:ascii="ArialMT" w:hAnsi="ArialMT" w:cs="ArialMT"/>
          <w:sz w:val="24"/>
          <w:szCs w:val="24"/>
        </w:rPr>
        <w:t xml:space="preserve">relationship </w:t>
      </w:r>
      <w:r w:rsidR="00F4699C" w:rsidRPr="00B042BB">
        <w:rPr>
          <w:rFonts w:ascii="ArialMT" w:hAnsi="ArialMT" w:cs="ArialMT"/>
          <w:sz w:val="24"/>
          <w:szCs w:val="24"/>
        </w:rPr>
        <w:t>that</w:t>
      </w:r>
      <w:r w:rsidR="00BC1F7F" w:rsidRPr="00B042BB">
        <w:rPr>
          <w:rFonts w:ascii="ArialMT" w:hAnsi="ArialMT" w:cs="ArialMT"/>
          <w:sz w:val="24"/>
          <w:szCs w:val="24"/>
        </w:rPr>
        <w:t xml:space="preserve"> needs consideration is that between the flats in block 84-94 Reliance Way and plot 4. Again, the potential for overlooking from these flats is </w:t>
      </w:r>
      <w:r w:rsidR="00F4699C" w:rsidRPr="00B042BB">
        <w:rPr>
          <w:rFonts w:ascii="ArialMT" w:hAnsi="ArialMT" w:cs="ArialMT"/>
          <w:sz w:val="24"/>
          <w:szCs w:val="24"/>
        </w:rPr>
        <w:t xml:space="preserve">significantly </w:t>
      </w:r>
      <w:r w:rsidR="00BC1F7F" w:rsidRPr="00B042BB">
        <w:rPr>
          <w:rFonts w:ascii="ArialMT" w:hAnsi="ArialMT" w:cs="ArialMT"/>
          <w:sz w:val="24"/>
          <w:szCs w:val="24"/>
        </w:rPr>
        <w:t xml:space="preserve">reduced by the 3.6m high </w:t>
      </w:r>
      <w:r w:rsidR="00F4699C" w:rsidRPr="00B042BB">
        <w:rPr>
          <w:rFonts w:ascii="ArialMT" w:hAnsi="ArialMT" w:cs="ArialMT"/>
          <w:sz w:val="24"/>
          <w:szCs w:val="24"/>
        </w:rPr>
        <w:t>wall</w:t>
      </w:r>
      <w:r w:rsidR="00BC1F7F" w:rsidRPr="00B042BB">
        <w:rPr>
          <w:rFonts w:ascii="ArialMT" w:hAnsi="ArialMT" w:cs="ArialMT"/>
          <w:sz w:val="24"/>
          <w:szCs w:val="24"/>
        </w:rPr>
        <w:t xml:space="preserve"> which bounds the builder’s yard at this point. </w:t>
      </w:r>
      <w:r w:rsidR="00F4699C" w:rsidRPr="00B042BB">
        <w:rPr>
          <w:rFonts w:ascii="ArialMT" w:hAnsi="ArialMT" w:cs="ArialMT"/>
          <w:sz w:val="24"/>
          <w:szCs w:val="24"/>
        </w:rPr>
        <w:t xml:space="preserve">This </w:t>
      </w:r>
      <w:r w:rsidR="00B042BB" w:rsidRPr="00B042BB">
        <w:rPr>
          <w:rFonts w:ascii="ArialMT" w:hAnsi="ArialMT" w:cs="ArialMT"/>
          <w:sz w:val="24"/>
          <w:szCs w:val="24"/>
        </w:rPr>
        <w:t xml:space="preserve">essentially </w:t>
      </w:r>
      <w:r w:rsidR="00F4699C" w:rsidRPr="00B042BB">
        <w:rPr>
          <w:rFonts w:ascii="ArialMT" w:hAnsi="ArialMT" w:cs="ArialMT"/>
          <w:sz w:val="24"/>
          <w:szCs w:val="24"/>
        </w:rPr>
        <w:t xml:space="preserve">prevents any tangential overlooking from ground and first floor </w:t>
      </w:r>
      <w:r w:rsidR="00B042BB" w:rsidRPr="00B042BB">
        <w:rPr>
          <w:rFonts w:ascii="ArialMT" w:hAnsi="ArialMT" w:cs="ArialMT"/>
          <w:sz w:val="24"/>
          <w:szCs w:val="24"/>
        </w:rPr>
        <w:t xml:space="preserve">flat </w:t>
      </w:r>
      <w:r w:rsidR="00F4699C" w:rsidRPr="00B042BB">
        <w:rPr>
          <w:rFonts w:ascii="ArialMT" w:hAnsi="ArialMT" w:cs="ArialMT"/>
          <w:sz w:val="24"/>
          <w:szCs w:val="24"/>
        </w:rPr>
        <w:t>windows</w:t>
      </w:r>
      <w:r w:rsidR="00B042BB" w:rsidRPr="00B042BB">
        <w:rPr>
          <w:rFonts w:ascii="ArialMT" w:hAnsi="ArialMT" w:cs="ArialMT"/>
          <w:sz w:val="24"/>
          <w:szCs w:val="24"/>
        </w:rPr>
        <w:t xml:space="preserve"> in this block</w:t>
      </w:r>
      <w:r w:rsidR="00F4699C" w:rsidRPr="00B042BB">
        <w:rPr>
          <w:rFonts w:ascii="ArialMT" w:hAnsi="ArialMT" w:cs="ArialMT"/>
          <w:sz w:val="24"/>
          <w:szCs w:val="24"/>
        </w:rPr>
        <w:t>. At the second floor, the high wall still partly obscure views into the garden of what would be plot 4 and the window is some 1</w:t>
      </w:r>
      <w:r w:rsidR="008D0A95">
        <w:rPr>
          <w:rFonts w:ascii="ArialMT" w:hAnsi="ArialMT" w:cs="ArialMT"/>
          <w:sz w:val="24"/>
          <w:szCs w:val="24"/>
        </w:rPr>
        <w:t>4</w:t>
      </w:r>
      <w:r w:rsidR="00F4699C" w:rsidRPr="00B042BB">
        <w:rPr>
          <w:rFonts w:ascii="ArialMT" w:hAnsi="ArialMT" w:cs="ArialMT"/>
          <w:sz w:val="24"/>
          <w:szCs w:val="24"/>
        </w:rPr>
        <w:t xml:space="preserve">m from rear elevation windows of plot 4. This distance is again considered acceptable </w:t>
      </w:r>
      <w:r w:rsidRPr="00B042BB">
        <w:rPr>
          <w:rFonts w:ascii="ArialMT" w:hAnsi="ArialMT" w:cs="ArialMT"/>
          <w:sz w:val="24"/>
          <w:szCs w:val="24"/>
        </w:rPr>
        <w:t xml:space="preserve">and </w:t>
      </w:r>
      <w:r w:rsidR="00F4699C" w:rsidRPr="00B042BB">
        <w:rPr>
          <w:rFonts w:ascii="ArialMT" w:hAnsi="ArialMT" w:cs="ArialMT"/>
          <w:sz w:val="24"/>
          <w:szCs w:val="24"/>
        </w:rPr>
        <w:t>reflects several similar instances of relationship distances between properties built in Reliance Way.</w:t>
      </w:r>
    </w:p>
    <w:p w:rsidR="00B042BB" w:rsidRPr="00B042BB" w:rsidRDefault="00B042BB" w:rsidP="00B042BB">
      <w:pPr>
        <w:widowControl w:val="0"/>
        <w:autoSpaceDE w:val="0"/>
        <w:autoSpaceDN w:val="0"/>
        <w:adjustRightInd w:val="0"/>
        <w:spacing w:after="0" w:line="240" w:lineRule="auto"/>
        <w:ind w:right="-3" w:hanging="720"/>
        <w:jc w:val="both"/>
        <w:rPr>
          <w:rFonts w:ascii="ArialMT" w:hAnsi="ArialMT" w:cs="ArialMT"/>
          <w:sz w:val="24"/>
          <w:szCs w:val="24"/>
        </w:rPr>
      </w:pPr>
    </w:p>
    <w:p w:rsidR="00B042BB" w:rsidRPr="00B042BB" w:rsidRDefault="00B042BB" w:rsidP="00B042BB">
      <w:pPr>
        <w:pStyle w:val="ListParagraph"/>
        <w:widowControl w:val="0"/>
        <w:numPr>
          <w:ilvl w:val="0"/>
          <w:numId w:val="11"/>
        </w:numPr>
        <w:autoSpaceDE w:val="0"/>
        <w:autoSpaceDN w:val="0"/>
        <w:adjustRightInd w:val="0"/>
        <w:spacing w:after="0" w:line="240" w:lineRule="auto"/>
        <w:ind w:right="-3" w:hanging="720"/>
        <w:jc w:val="both"/>
        <w:rPr>
          <w:rFonts w:ascii="ArialMT" w:hAnsi="ArialMT" w:cs="ArialMT"/>
          <w:sz w:val="24"/>
          <w:szCs w:val="24"/>
        </w:rPr>
      </w:pPr>
      <w:r>
        <w:rPr>
          <w:rFonts w:ascii="ArialMT" w:hAnsi="ArialMT" w:cs="ArialMT"/>
          <w:sz w:val="24"/>
          <w:szCs w:val="24"/>
        </w:rPr>
        <w:t>Officers therefore remain of the view that that there are no justifiable grounds to refuse this proposal for reasons of overlooking or loss of privacy.</w:t>
      </w: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r>
        <w:rPr>
          <w:rFonts w:ascii="ArialMT" w:hAnsi="ArialMT" w:cs="ArialMT"/>
          <w:sz w:val="24"/>
          <w:szCs w:val="24"/>
          <w:u w:val="single"/>
        </w:rPr>
        <w:t>Tandem Car-Parking</w:t>
      </w:r>
    </w:p>
    <w:p w:rsidR="00FB17BF" w:rsidRDefault="00FB17BF" w:rsidP="00C31634">
      <w:pPr>
        <w:widowControl w:val="0"/>
        <w:autoSpaceDE w:val="0"/>
        <w:autoSpaceDN w:val="0"/>
        <w:adjustRightInd w:val="0"/>
        <w:spacing w:after="0" w:line="240" w:lineRule="auto"/>
        <w:jc w:val="both"/>
        <w:rPr>
          <w:rFonts w:ascii="ArialMT" w:hAnsi="ArialMT" w:cs="ArialMT"/>
          <w:sz w:val="24"/>
          <w:szCs w:val="24"/>
          <w:u w:val="single"/>
        </w:rPr>
      </w:pPr>
    </w:p>
    <w:p w:rsidR="00FB17BF" w:rsidRDefault="00B042BB" w:rsidP="00FB17BF">
      <w:pPr>
        <w:widowControl w:val="0"/>
        <w:autoSpaceDE w:val="0"/>
        <w:autoSpaceDN w:val="0"/>
        <w:adjustRightInd w:val="0"/>
        <w:spacing w:after="0" w:line="240" w:lineRule="auto"/>
        <w:ind w:left="720" w:right="-2" w:hanging="720"/>
        <w:jc w:val="both"/>
        <w:rPr>
          <w:rFonts w:ascii="ArialMT" w:hAnsi="ArialMT" w:cs="ArialMT"/>
          <w:sz w:val="24"/>
          <w:szCs w:val="24"/>
        </w:rPr>
      </w:pPr>
      <w:r>
        <w:rPr>
          <w:rFonts w:ascii="ArialMT" w:hAnsi="ArialMT" w:cs="ArialMT"/>
          <w:sz w:val="24"/>
          <w:szCs w:val="24"/>
        </w:rPr>
        <w:t>12</w:t>
      </w:r>
      <w:r w:rsidR="00FB17BF">
        <w:rPr>
          <w:rFonts w:ascii="ArialMT" w:hAnsi="ArialMT" w:cs="ArialMT"/>
          <w:sz w:val="24"/>
          <w:szCs w:val="24"/>
        </w:rPr>
        <w:t>.</w:t>
      </w:r>
      <w:r w:rsidR="00FB17BF">
        <w:rPr>
          <w:rFonts w:ascii="ArialMT" w:hAnsi="ArialMT" w:cs="ArialMT"/>
          <w:sz w:val="24"/>
          <w:szCs w:val="24"/>
        </w:rPr>
        <w:tab/>
        <w:t>A</w:t>
      </w:r>
      <w:r>
        <w:rPr>
          <w:rFonts w:ascii="ArialMT" w:hAnsi="ArialMT" w:cs="ArialMT"/>
          <w:sz w:val="24"/>
          <w:szCs w:val="24"/>
        </w:rPr>
        <w:t>s set out in officers’ original report, a</w:t>
      </w:r>
      <w:r w:rsidR="00FB17BF">
        <w:rPr>
          <w:rFonts w:ascii="ArialMT" w:hAnsi="ArialMT" w:cs="ArialMT"/>
          <w:sz w:val="24"/>
          <w:szCs w:val="24"/>
        </w:rPr>
        <w:t xml:space="preserve"> total of nine car parking spaces are proposed as part of a revised layout, with one space each allocated to the 3-bed units which form the front terrace and two spaces each, allocated to the 4-bed properties within the rear terrace. No unallocated or visitor space is proposed. </w:t>
      </w:r>
    </w:p>
    <w:p w:rsidR="00FB17BF" w:rsidRDefault="00FB17BF" w:rsidP="00FB17BF">
      <w:pPr>
        <w:widowControl w:val="0"/>
        <w:autoSpaceDE w:val="0"/>
        <w:autoSpaceDN w:val="0"/>
        <w:adjustRightInd w:val="0"/>
        <w:spacing w:after="0" w:line="240" w:lineRule="auto"/>
        <w:ind w:right="-2"/>
        <w:jc w:val="both"/>
        <w:rPr>
          <w:rFonts w:ascii="ArialMT" w:hAnsi="ArialMT" w:cs="ArialMT"/>
          <w:sz w:val="24"/>
          <w:szCs w:val="24"/>
        </w:rPr>
      </w:pPr>
    </w:p>
    <w:p w:rsidR="00FB17BF" w:rsidRDefault="00B042BB" w:rsidP="00FB17BF">
      <w:pPr>
        <w:widowControl w:val="0"/>
        <w:autoSpaceDE w:val="0"/>
        <w:autoSpaceDN w:val="0"/>
        <w:adjustRightInd w:val="0"/>
        <w:spacing w:after="0" w:line="240" w:lineRule="auto"/>
        <w:ind w:left="720" w:right="-2" w:hanging="720"/>
        <w:jc w:val="both"/>
        <w:rPr>
          <w:rFonts w:ascii="ArialMT" w:hAnsi="ArialMT" w:cs="ArialMT"/>
          <w:sz w:val="24"/>
          <w:szCs w:val="24"/>
        </w:rPr>
      </w:pPr>
      <w:r>
        <w:rPr>
          <w:rFonts w:ascii="ArialMT" w:hAnsi="ArialMT" w:cs="ArialMT"/>
          <w:sz w:val="24"/>
          <w:szCs w:val="24"/>
        </w:rPr>
        <w:t>13</w:t>
      </w:r>
      <w:r w:rsidR="00FB17BF">
        <w:rPr>
          <w:rFonts w:ascii="ArialMT" w:hAnsi="ArialMT" w:cs="ArialMT"/>
          <w:sz w:val="24"/>
          <w:szCs w:val="24"/>
        </w:rPr>
        <w:t>.</w:t>
      </w:r>
      <w:r w:rsidR="00FB17BF">
        <w:rPr>
          <w:rFonts w:ascii="ArialMT" w:hAnsi="ArialMT" w:cs="ArialMT"/>
          <w:sz w:val="24"/>
          <w:szCs w:val="24"/>
        </w:rPr>
        <w:tab/>
        <w:t xml:space="preserve">The levels of car parking included as part of the scheme are designed to discourage potential family occupiers from being over-reliant on use of the private car and recognise the sustainability of this location and its convenience to local facilities, the city centre and bus services. </w:t>
      </w:r>
      <w:r>
        <w:rPr>
          <w:rFonts w:ascii="ArialMT" w:hAnsi="ArialMT" w:cs="ArialMT"/>
          <w:sz w:val="24"/>
          <w:szCs w:val="24"/>
        </w:rPr>
        <w:t>Whilst noting</w:t>
      </w:r>
      <w:r w:rsidR="00FB17BF">
        <w:rPr>
          <w:rFonts w:ascii="ArialMT" w:hAnsi="ArialMT" w:cs="ArialMT"/>
          <w:sz w:val="24"/>
          <w:szCs w:val="24"/>
        </w:rPr>
        <w:t xml:space="preserve"> the Highway Authority’s concerns, officers consider that the levels of parking proposed are appropriate, given the sustainability of this particular location.</w:t>
      </w:r>
    </w:p>
    <w:p w:rsidR="00FB17BF" w:rsidRDefault="00FB17BF" w:rsidP="00FB17BF">
      <w:pPr>
        <w:widowControl w:val="0"/>
        <w:autoSpaceDE w:val="0"/>
        <w:autoSpaceDN w:val="0"/>
        <w:adjustRightInd w:val="0"/>
        <w:spacing w:after="0" w:line="240" w:lineRule="auto"/>
        <w:ind w:right="-2"/>
        <w:jc w:val="both"/>
        <w:rPr>
          <w:rFonts w:ascii="ArialMT" w:hAnsi="ArialMT" w:cs="ArialMT"/>
          <w:sz w:val="24"/>
          <w:szCs w:val="24"/>
        </w:rPr>
      </w:pPr>
    </w:p>
    <w:p w:rsidR="00907946" w:rsidRDefault="00B042BB" w:rsidP="00FB17BF">
      <w:pPr>
        <w:widowControl w:val="0"/>
        <w:autoSpaceDE w:val="0"/>
        <w:autoSpaceDN w:val="0"/>
        <w:adjustRightInd w:val="0"/>
        <w:spacing w:after="0" w:line="240" w:lineRule="auto"/>
        <w:ind w:left="720" w:right="-2" w:hanging="720"/>
        <w:jc w:val="both"/>
        <w:rPr>
          <w:rFonts w:ascii="ArialMT" w:hAnsi="ArialMT" w:cs="ArialMT"/>
          <w:sz w:val="24"/>
          <w:szCs w:val="24"/>
        </w:rPr>
      </w:pPr>
      <w:r>
        <w:rPr>
          <w:rFonts w:ascii="ArialMT" w:hAnsi="ArialMT" w:cs="ArialMT"/>
          <w:sz w:val="24"/>
          <w:szCs w:val="24"/>
        </w:rPr>
        <w:t>14</w:t>
      </w:r>
      <w:r w:rsidR="00FB17BF">
        <w:rPr>
          <w:rFonts w:ascii="ArialMT" w:hAnsi="ArialMT" w:cs="ArialMT"/>
          <w:sz w:val="24"/>
          <w:szCs w:val="24"/>
        </w:rPr>
        <w:t>.</w:t>
      </w:r>
      <w:r w:rsidR="00FB17BF">
        <w:rPr>
          <w:rFonts w:ascii="ArialMT" w:hAnsi="ArialMT" w:cs="ArialMT"/>
          <w:sz w:val="24"/>
          <w:szCs w:val="24"/>
        </w:rPr>
        <w:tab/>
        <w:t xml:space="preserve">Officers also consider that the tandem-style layout of car parking in the rear courtyard is workable and unlikely to give </w:t>
      </w:r>
      <w:r>
        <w:rPr>
          <w:rFonts w:ascii="ArialMT" w:hAnsi="ArialMT" w:cs="ArialMT"/>
          <w:sz w:val="24"/>
          <w:szCs w:val="24"/>
        </w:rPr>
        <w:t>rise to manoeuvring difficulty</w:t>
      </w:r>
      <w:r w:rsidR="00FB17BF">
        <w:rPr>
          <w:rFonts w:ascii="ArialMT" w:hAnsi="ArialMT" w:cs="ArialMT"/>
          <w:sz w:val="24"/>
          <w:szCs w:val="24"/>
        </w:rPr>
        <w:t xml:space="preserve"> </w:t>
      </w:r>
      <w:r>
        <w:rPr>
          <w:rFonts w:ascii="ArialMT" w:hAnsi="ArialMT" w:cs="ArialMT"/>
          <w:sz w:val="24"/>
          <w:szCs w:val="24"/>
        </w:rPr>
        <w:t>that</w:t>
      </w:r>
      <w:r w:rsidR="00FB17BF">
        <w:rPr>
          <w:rFonts w:ascii="ArialMT" w:hAnsi="ArialMT" w:cs="ArialMT"/>
          <w:sz w:val="24"/>
          <w:szCs w:val="24"/>
        </w:rPr>
        <w:t xml:space="preserve"> would have an impact on highway safety. </w:t>
      </w:r>
      <w:r w:rsidR="00907946">
        <w:rPr>
          <w:rFonts w:ascii="ArialMT" w:hAnsi="ArialMT" w:cs="ArialMT"/>
          <w:sz w:val="24"/>
          <w:szCs w:val="24"/>
        </w:rPr>
        <w:t>The Tracking Plan attached as Appendix B to this report gives an indication of vehicle manoeuvring from the car parking spaces proposed.</w:t>
      </w:r>
    </w:p>
    <w:p w:rsidR="00907946" w:rsidRDefault="00907946" w:rsidP="00FB17BF">
      <w:pPr>
        <w:widowControl w:val="0"/>
        <w:autoSpaceDE w:val="0"/>
        <w:autoSpaceDN w:val="0"/>
        <w:adjustRightInd w:val="0"/>
        <w:spacing w:after="0" w:line="240" w:lineRule="auto"/>
        <w:ind w:left="720" w:right="-2" w:hanging="720"/>
        <w:jc w:val="both"/>
        <w:rPr>
          <w:rFonts w:ascii="ArialMT" w:hAnsi="ArialMT" w:cs="ArialMT"/>
          <w:sz w:val="24"/>
          <w:szCs w:val="24"/>
        </w:rPr>
      </w:pPr>
    </w:p>
    <w:p w:rsidR="008F66A7" w:rsidRPr="00FB17BF" w:rsidRDefault="00907946" w:rsidP="00FB17BF">
      <w:pPr>
        <w:widowControl w:val="0"/>
        <w:autoSpaceDE w:val="0"/>
        <w:autoSpaceDN w:val="0"/>
        <w:adjustRightInd w:val="0"/>
        <w:spacing w:after="0" w:line="240" w:lineRule="auto"/>
        <w:ind w:left="720" w:right="-2" w:hanging="720"/>
        <w:jc w:val="both"/>
        <w:rPr>
          <w:rFonts w:ascii="ArialMT" w:hAnsi="ArialMT" w:cs="ArialMT"/>
          <w:sz w:val="24"/>
          <w:szCs w:val="24"/>
        </w:rPr>
      </w:pPr>
      <w:r>
        <w:rPr>
          <w:rFonts w:ascii="ArialMT" w:hAnsi="ArialMT" w:cs="ArialMT"/>
          <w:sz w:val="24"/>
          <w:szCs w:val="24"/>
        </w:rPr>
        <w:t>15.</w:t>
      </w:r>
      <w:r>
        <w:rPr>
          <w:rFonts w:ascii="ArialMT" w:hAnsi="ArialMT" w:cs="ArialMT"/>
          <w:sz w:val="24"/>
          <w:szCs w:val="24"/>
        </w:rPr>
        <w:tab/>
      </w:r>
      <w:r w:rsidR="00FB17BF">
        <w:rPr>
          <w:rFonts w:ascii="ArialMT" w:hAnsi="ArialMT" w:cs="ArialMT"/>
          <w:sz w:val="24"/>
          <w:szCs w:val="24"/>
        </w:rPr>
        <w:t xml:space="preserve">Many dwellings are built with ‘tandem-style parking’, including for example, </w:t>
      </w:r>
      <w:r w:rsidR="00B3641B">
        <w:rPr>
          <w:rFonts w:ascii="ArialMT" w:hAnsi="ArialMT" w:cs="ArialMT"/>
          <w:sz w:val="24"/>
          <w:szCs w:val="24"/>
        </w:rPr>
        <w:t>where a parking space sits in front of a garage. There are also several instances of tandem car parking layout with the Reliance Way development, including tandem parking associated with block 106 (for flats 108 and 110)</w:t>
      </w:r>
      <w:r w:rsidR="00FB17BF">
        <w:rPr>
          <w:rFonts w:ascii="ArialMT" w:hAnsi="ArialMT" w:cs="ArialMT"/>
          <w:sz w:val="24"/>
          <w:szCs w:val="24"/>
        </w:rPr>
        <w:t xml:space="preserve">. </w:t>
      </w: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r>
        <w:rPr>
          <w:rFonts w:ascii="ArialMT" w:hAnsi="ArialMT" w:cs="ArialMT"/>
          <w:sz w:val="24"/>
          <w:szCs w:val="24"/>
          <w:u w:val="single"/>
        </w:rPr>
        <w:t>Internal Space in Plots 1, 2 and 3</w:t>
      </w:r>
    </w:p>
    <w:p w:rsidR="008F66A7" w:rsidRDefault="008F66A7" w:rsidP="00C31634">
      <w:pPr>
        <w:widowControl w:val="0"/>
        <w:autoSpaceDE w:val="0"/>
        <w:autoSpaceDN w:val="0"/>
        <w:adjustRightInd w:val="0"/>
        <w:spacing w:after="0" w:line="240" w:lineRule="auto"/>
        <w:jc w:val="both"/>
        <w:rPr>
          <w:rFonts w:ascii="ArialMT" w:hAnsi="ArialMT" w:cs="ArialMT"/>
          <w:sz w:val="24"/>
          <w:szCs w:val="24"/>
          <w:u w:val="single"/>
        </w:rPr>
      </w:pPr>
    </w:p>
    <w:p w:rsidR="00FB17BF" w:rsidRPr="005039DD" w:rsidRDefault="00907946" w:rsidP="005039DD">
      <w:pPr>
        <w:widowControl w:val="0"/>
        <w:autoSpaceDE w:val="0"/>
        <w:autoSpaceDN w:val="0"/>
        <w:adjustRightInd w:val="0"/>
        <w:spacing w:after="0" w:line="240" w:lineRule="auto"/>
        <w:ind w:left="720" w:right="-3" w:hanging="720"/>
        <w:jc w:val="both"/>
        <w:rPr>
          <w:rFonts w:ascii="ArialMT" w:hAnsi="ArialMT" w:cs="ArialMT"/>
          <w:sz w:val="24"/>
          <w:szCs w:val="24"/>
        </w:rPr>
      </w:pPr>
      <w:r>
        <w:rPr>
          <w:rFonts w:ascii="ArialMT" w:hAnsi="ArialMT" w:cs="ArialMT"/>
          <w:sz w:val="24"/>
          <w:szCs w:val="24"/>
        </w:rPr>
        <w:t>16.</w:t>
      </w:r>
      <w:r>
        <w:rPr>
          <w:rFonts w:ascii="ArialMT" w:hAnsi="ArialMT" w:cs="ArialMT"/>
          <w:sz w:val="24"/>
          <w:szCs w:val="24"/>
        </w:rPr>
        <w:tab/>
      </w:r>
      <w:r w:rsidR="00FB17BF" w:rsidRPr="005039DD">
        <w:rPr>
          <w:rFonts w:ascii="ArialMT" w:hAnsi="ArialMT" w:cs="ArialMT"/>
          <w:sz w:val="24"/>
          <w:szCs w:val="24"/>
        </w:rPr>
        <w:t xml:space="preserve">The proposed dwellings are designed in a ‘townhouse’ style over three floors. The front terrace provides </w:t>
      </w:r>
      <w:r w:rsidR="000A7667" w:rsidRPr="005039DD">
        <w:rPr>
          <w:rFonts w:ascii="ArialMT" w:hAnsi="ArialMT" w:cs="ArialMT"/>
          <w:sz w:val="24"/>
          <w:szCs w:val="24"/>
        </w:rPr>
        <w:t xml:space="preserve">three </w:t>
      </w:r>
      <w:r w:rsidR="00FB17BF" w:rsidRPr="005039DD">
        <w:rPr>
          <w:rFonts w:ascii="ArialMT" w:hAnsi="ArialMT" w:cs="ArialMT"/>
          <w:sz w:val="24"/>
          <w:szCs w:val="24"/>
        </w:rPr>
        <w:t xml:space="preserve">3-bed homes and the rear terrace, </w:t>
      </w:r>
      <w:r w:rsidR="000A7667" w:rsidRPr="005039DD">
        <w:rPr>
          <w:rFonts w:ascii="ArialMT" w:hAnsi="ArialMT" w:cs="ArialMT"/>
          <w:sz w:val="24"/>
          <w:szCs w:val="24"/>
        </w:rPr>
        <w:t xml:space="preserve">three </w:t>
      </w:r>
      <w:r w:rsidR="00FB17BF" w:rsidRPr="005039DD">
        <w:rPr>
          <w:rFonts w:ascii="ArialMT" w:hAnsi="ArialMT" w:cs="ArialMT"/>
          <w:sz w:val="24"/>
          <w:szCs w:val="24"/>
        </w:rPr>
        <w:t xml:space="preserve">4-bed homes. The homes in the front terrace are narrower than those to the rear, but </w:t>
      </w:r>
      <w:r w:rsidR="00CA2949" w:rsidRPr="005039DD">
        <w:rPr>
          <w:rFonts w:ascii="ArialMT" w:hAnsi="ArialMT" w:cs="ArialMT"/>
          <w:sz w:val="24"/>
          <w:szCs w:val="24"/>
        </w:rPr>
        <w:t>all homes</w:t>
      </w:r>
      <w:r w:rsidR="00FB17BF" w:rsidRPr="005039DD">
        <w:rPr>
          <w:rFonts w:ascii="ArialMT" w:hAnsi="ArialMT" w:cs="ArialMT"/>
          <w:sz w:val="24"/>
          <w:szCs w:val="24"/>
        </w:rPr>
        <w:t xml:space="preserve"> provide an appropriate level of internal space </w:t>
      </w:r>
      <w:r w:rsidR="001E029D" w:rsidRPr="005039DD">
        <w:rPr>
          <w:rFonts w:ascii="ArialMT" w:hAnsi="ArialMT" w:cs="ArialMT"/>
          <w:sz w:val="24"/>
          <w:szCs w:val="24"/>
        </w:rPr>
        <w:t>(</w:t>
      </w:r>
      <w:proofErr w:type="spellStart"/>
      <w:r w:rsidR="001E029D" w:rsidRPr="005039DD">
        <w:rPr>
          <w:rFonts w:ascii="ArialMT" w:hAnsi="ArialMT" w:cs="ArialMT"/>
          <w:sz w:val="24"/>
          <w:szCs w:val="24"/>
        </w:rPr>
        <w:t>ie</w:t>
      </w:r>
      <w:proofErr w:type="spellEnd"/>
      <w:r w:rsidR="001E029D" w:rsidRPr="005039DD">
        <w:rPr>
          <w:rFonts w:ascii="ArialMT" w:hAnsi="ArialMT" w:cs="ArialMT"/>
          <w:sz w:val="24"/>
          <w:szCs w:val="24"/>
        </w:rPr>
        <w:t>. 91sq.</w:t>
      </w:r>
      <w:r w:rsidR="00CA2949" w:rsidRPr="005039DD">
        <w:rPr>
          <w:rFonts w:ascii="ArialMT" w:hAnsi="ArialMT" w:cs="ArialMT"/>
          <w:sz w:val="24"/>
          <w:szCs w:val="24"/>
        </w:rPr>
        <w:t xml:space="preserve">m for 3-bed homes and 117sq.m for 4-bed homes) </w:t>
      </w:r>
      <w:r w:rsidR="00FB17BF" w:rsidRPr="005039DD">
        <w:rPr>
          <w:rFonts w:ascii="ArialMT" w:hAnsi="ArialMT" w:cs="ArialMT"/>
          <w:sz w:val="24"/>
          <w:szCs w:val="24"/>
        </w:rPr>
        <w:t>and comply with Sites and Housing Plan Policy HP12</w:t>
      </w:r>
      <w:r w:rsidR="00CA2949" w:rsidRPr="005039DD">
        <w:rPr>
          <w:rFonts w:ascii="ArialMT" w:hAnsi="ArialMT" w:cs="ArialMT"/>
          <w:sz w:val="24"/>
          <w:szCs w:val="24"/>
        </w:rPr>
        <w:t xml:space="preserve">, which requires a minimum space standard </w:t>
      </w:r>
      <w:r w:rsidR="001E029D" w:rsidRPr="005039DD">
        <w:rPr>
          <w:rFonts w:ascii="ArialMT" w:hAnsi="ArialMT" w:cs="ArialMT"/>
          <w:sz w:val="24"/>
          <w:szCs w:val="24"/>
        </w:rPr>
        <w:t>of 75sq.m for family homes.</w:t>
      </w:r>
    </w:p>
    <w:p w:rsidR="008F66A7" w:rsidRPr="008F66A7" w:rsidRDefault="008F66A7" w:rsidP="006617B2">
      <w:pPr>
        <w:widowControl w:val="0"/>
        <w:autoSpaceDE w:val="0"/>
        <w:autoSpaceDN w:val="0"/>
        <w:adjustRightInd w:val="0"/>
        <w:spacing w:after="0" w:line="240" w:lineRule="auto"/>
        <w:ind w:hanging="720"/>
        <w:jc w:val="both"/>
        <w:rPr>
          <w:rFonts w:ascii="ArialMT" w:hAnsi="ArialMT" w:cs="ArialMT"/>
          <w:sz w:val="24"/>
          <w:szCs w:val="24"/>
          <w:u w:val="single"/>
        </w:rPr>
      </w:pPr>
    </w:p>
    <w:p w:rsidR="008F66A7" w:rsidRPr="006617B2" w:rsidRDefault="008F66A7" w:rsidP="006617B2">
      <w:pPr>
        <w:pStyle w:val="ListParagraph"/>
        <w:widowControl w:val="0"/>
        <w:autoSpaceDE w:val="0"/>
        <w:autoSpaceDN w:val="0"/>
        <w:adjustRightInd w:val="0"/>
        <w:spacing w:after="0" w:line="240" w:lineRule="auto"/>
        <w:jc w:val="both"/>
        <w:rPr>
          <w:rFonts w:ascii="ArialMT" w:hAnsi="ArialMT" w:cs="ArialMT"/>
          <w:sz w:val="24"/>
          <w:szCs w:val="24"/>
          <w:u w:val="single"/>
        </w:rPr>
      </w:pPr>
      <w:r w:rsidRPr="006617B2">
        <w:rPr>
          <w:rFonts w:ascii="ArialMT" w:hAnsi="ArialMT" w:cs="ArialMT"/>
          <w:sz w:val="24"/>
          <w:szCs w:val="24"/>
          <w:u w:val="single"/>
        </w:rPr>
        <w:t>Conclusion</w:t>
      </w:r>
    </w:p>
    <w:p w:rsidR="008F66A7" w:rsidRDefault="008F66A7" w:rsidP="006617B2">
      <w:pPr>
        <w:widowControl w:val="0"/>
        <w:autoSpaceDE w:val="0"/>
        <w:autoSpaceDN w:val="0"/>
        <w:adjustRightInd w:val="0"/>
        <w:spacing w:after="0" w:line="240" w:lineRule="auto"/>
        <w:ind w:hanging="720"/>
        <w:jc w:val="both"/>
        <w:rPr>
          <w:rFonts w:ascii="ArialMT" w:hAnsi="ArialMT" w:cs="ArialMT"/>
          <w:sz w:val="24"/>
          <w:szCs w:val="24"/>
        </w:rPr>
      </w:pPr>
    </w:p>
    <w:p w:rsidR="008F66A7" w:rsidRPr="005039DD" w:rsidRDefault="00907946" w:rsidP="005039DD">
      <w:pPr>
        <w:widowControl w:val="0"/>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17.</w:t>
      </w:r>
      <w:r>
        <w:rPr>
          <w:rFonts w:ascii="ArialMT" w:hAnsi="ArialMT" w:cs="ArialMT"/>
          <w:sz w:val="24"/>
          <w:szCs w:val="24"/>
        </w:rPr>
        <w:tab/>
      </w:r>
      <w:r w:rsidR="008F66A7" w:rsidRPr="005039DD">
        <w:rPr>
          <w:rFonts w:ascii="ArialMT" w:hAnsi="ArialMT" w:cs="ArialMT"/>
          <w:sz w:val="24"/>
          <w:szCs w:val="24"/>
        </w:rPr>
        <w:t xml:space="preserve">In light of this additional information, officers remain of the view that this application should be recommended for approval. </w:t>
      </w:r>
    </w:p>
    <w:p w:rsidR="00FB17BF" w:rsidRDefault="00FB17BF" w:rsidP="006617B2">
      <w:pPr>
        <w:widowControl w:val="0"/>
        <w:autoSpaceDE w:val="0"/>
        <w:autoSpaceDN w:val="0"/>
        <w:adjustRightInd w:val="0"/>
        <w:spacing w:after="0" w:line="240" w:lineRule="auto"/>
        <w:ind w:hanging="720"/>
        <w:jc w:val="both"/>
        <w:rPr>
          <w:rFonts w:ascii="ArialMT" w:hAnsi="ArialMT" w:cs="ArialMT"/>
          <w:sz w:val="24"/>
          <w:szCs w:val="24"/>
        </w:rPr>
      </w:pPr>
    </w:p>
    <w:p w:rsidR="00FB17BF" w:rsidRPr="005039DD" w:rsidRDefault="00907946" w:rsidP="005039DD">
      <w:pPr>
        <w:widowControl w:val="0"/>
        <w:autoSpaceDE w:val="0"/>
        <w:autoSpaceDN w:val="0"/>
        <w:adjustRightInd w:val="0"/>
        <w:spacing w:after="0" w:line="240" w:lineRule="auto"/>
        <w:ind w:left="720" w:right="-2" w:hanging="720"/>
        <w:jc w:val="both"/>
        <w:rPr>
          <w:rFonts w:ascii="ArialMT" w:hAnsi="ArialMT" w:cs="ArialMT"/>
          <w:sz w:val="24"/>
          <w:szCs w:val="24"/>
        </w:rPr>
      </w:pPr>
      <w:r>
        <w:rPr>
          <w:rFonts w:ascii="ArialMT" w:hAnsi="ArialMT" w:cs="ArialMT"/>
          <w:sz w:val="24"/>
          <w:szCs w:val="24"/>
        </w:rPr>
        <w:t>18.</w:t>
      </w:r>
      <w:r>
        <w:rPr>
          <w:rFonts w:ascii="ArialMT" w:hAnsi="ArialMT" w:cs="ArialMT"/>
          <w:sz w:val="24"/>
          <w:szCs w:val="24"/>
        </w:rPr>
        <w:tab/>
      </w:r>
      <w:r w:rsidR="00FB17BF" w:rsidRPr="005039DD">
        <w:rPr>
          <w:rFonts w:ascii="ArialMT" w:hAnsi="ArialMT" w:cs="ArialMT"/>
          <w:sz w:val="24"/>
          <w:szCs w:val="24"/>
        </w:rPr>
        <w:t>The proposed redevelopment is considered to secure an efficient use of previous developed land within a predominantly residential area and would facilitate the removal of a vacant, disused and semi-derelict former builder’s yard which is no longer fit for purpose and detracts significantly from the appearance of the locality and street-scene. The overall layout, scale and design of the proposed buildings are sympathetic to the site and its surroundings whilst safeguarding the residential amenities of neighbouring properties. The proposed dwellings would provide good quality housing for future occupants and delivers contributions towards new affordable housing in accordance with policy. The proposal is acceptable in highways terms, will be energy efficient and does not create any biodiversity, environmental or flooding impacts. The development therefore accords with the National Planning Policy Framework and policies of the Oxford Core Strategy 2026, Oxford Local Plan 2001-2016 and the Sites and Housing Plan 2011-2026.</w:t>
      </w:r>
    </w:p>
    <w:p w:rsidR="00FB17BF" w:rsidRDefault="00FB17BF" w:rsidP="006617B2">
      <w:pPr>
        <w:widowControl w:val="0"/>
        <w:autoSpaceDE w:val="0"/>
        <w:autoSpaceDN w:val="0"/>
        <w:adjustRightInd w:val="0"/>
        <w:spacing w:after="0" w:line="240" w:lineRule="auto"/>
        <w:ind w:left="709" w:right="-2" w:hanging="709"/>
        <w:jc w:val="both"/>
        <w:rPr>
          <w:rFonts w:ascii="ArialMT" w:hAnsi="ArialMT" w:cs="ArialMT"/>
          <w:sz w:val="24"/>
          <w:szCs w:val="24"/>
        </w:rPr>
      </w:pPr>
    </w:p>
    <w:p w:rsidR="00FB17BF" w:rsidRPr="005039DD" w:rsidRDefault="00907946" w:rsidP="005039DD">
      <w:pPr>
        <w:widowControl w:val="0"/>
        <w:autoSpaceDE w:val="0"/>
        <w:autoSpaceDN w:val="0"/>
        <w:adjustRightInd w:val="0"/>
        <w:spacing w:after="0" w:line="240" w:lineRule="auto"/>
        <w:ind w:left="720" w:right="-2" w:hanging="720"/>
        <w:jc w:val="both"/>
        <w:rPr>
          <w:rFonts w:ascii="ArialMT" w:hAnsi="ArialMT" w:cs="ArialMT"/>
          <w:sz w:val="24"/>
          <w:szCs w:val="24"/>
        </w:rPr>
      </w:pPr>
      <w:r>
        <w:rPr>
          <w:rFonts w:ascii="ArialMT" w:hAnsi="ArialMT" w:cs="ArialMT"/>
          <w:sz w:val="24"/>
          <w:szCs w:val="24"/>
        </w:rPr>
        <w:t>19.</w:t>
      </w:r>
      <w:r>
        <w:rPr>
          <w:rFonts w:ascii="ArialMT" w:hAnsi="ArialMT" w:cs="ArialMT"/>
          <w:sz w:val="24"/>
          <w:szCs w:val="24"/>
        </w:rPr>
        <w:tab/>
      </w:r>
      <w:r w:rsidR="00FB17BF" w:rsidRPr="005039DD">
        <w:rPr>
          <w:rFonts w:ascii="ArialMT" w:hAnsi="ArialMT" w:cs="ArialMT"/>
          <w:sz w:val="24"/>
          <w:szCs w:val="24"/>
        </w:rPr>
        <w:t>The scheme is recommended for approval subject to conditions and S106 legal agreement.</w:t>
      </w:r>
    </w:p>
    <w:p w:rsidR="00FB17BF" w:rsidRDefault="00FB17BF" w:rsidP="00C31634">
      <w:pPr>
        <w:widowControl w:val="0"/>
        <w:autoSpaceDE w:val="0"/>
        <w:autoSpaceDN w:val="0"/>
        <w:adjustRightInd w:val="0"/>
        <w:spacing w:after="0" w:line="240" w:lineRule="auto"/>
        <w:jc w:val="both"/>
        <w:rPr>
          <w:rFonts w:ascii="ArialMT" w:hAnsi="ArialMT" w:cs="ArialMT"/>
          <w:sz w:val="24"/>
          <w:szCs w:val="24"/>
        </w:rPr>
      </w:pPr>
    </w:p>
    <w:p w:rsidR="008F66A7" w:rsidRDefault="008F66A7" w:rsidP="00C31634">
      <w:pPr>
        <w:widowControl w:val="0"/>
        <w:autoSpaceDE w:val="0"/>
        <w:autoSpaceDN w:val="0"/>
        <w:adjustRightInd w:val="0"/>
        <w:spacing w:after="0" w:line="240" w:lineRule="auto"/>
        <w:jc w:val="both"/>
        <w:rPr>
          <w:rFonts w:ascii="ArialMT" w:hAnsi="ArialMT" w:cs="ArialMT"/>
          <w:sz w:val="24"/>
          <w:szCs w:val="24"/>
        </w:rPr>
      </w:pPr>
    </w:p>
    <w:p w:rsidR="008F66A7" w:rsidRPr="008F66A7" w:rsidRDefault="008F66A7" w:rsidP="00C31634">
      <w:pPr>
        <w:widowControl w:val="0"/>
        <w:autoSpaceDE w:val="0"/>
        <w:autoSpaceDN w:val="0"/>
        <w:adjustRightInd w:val="0"/>
        <w:spacing w:after="0" w:line="240" w:lineRule="auto"/>
        <w:jc w:val="both"/>
        <w:rPr>
          <w:rFonts w:ascii="ArialMT" w:hAnsi="ArialMT" w:cs="ArialMT"/>
          <w:b/>
          <w:sz w:val="24"/>
          <w:szCs w:val="24"/>
        </w:rPr>
      </w:pPr>
      <w:r w:rsidRPr="008F66A7">
        <w:rPr>
          <w:rFonts w:ascii="ArialMT" w:hAnsi="ArialMT" w:cs="ArialMT"/>
          <w:b/>
          <w:sz w:val="24"/>
          <w:szCs w:val="24"/>
        </w:rPr>
        <w:t>Recommendation</w:t>
      </w:r>
    </w:p>
    <w:p w:rsidR="008F66A7" w:rsidRDefault="008F66A7" w:rsidP="00C31634">
      <w:pPr>
        <w:widowControl w:val="0"/>
        <w:autoSpaceDE w:val="0"/>
        <w:autoSpaceDN w:val="0"/>
        <w:adjustRightInd w:val="0"/>
        <w:spacing w:after="0" w:line="240" w:lineRule="auto"/>
        <w:jc w:val="both"/>
        <w:rPr>
          <w:rFonts w:ascii="ArialMT" w:hAnsi="ArialMT" w:cs="ArialMT"/>
          <w:sz w:val="24"/>
          <w:szCs w:val="24"/>
        </w:rPr>
      </w:pPr>
    </w:p>
    <w:p w:rsidR="002A63C7" w:rsidRDefault="002A63C7" w:rsidP="00C31634">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Committee is recommended to </w:t>
      </w:r>
      <w:r w:rsidR="00C31634">
        <w:rPr>
          <w:rFonts w:ascii="ArialMT" w:hAnsi="ArialMT" w:cs="ArialMT"/>
          <w:sz w:val="24"/>
          <w:szCs w:val="24"/>
        </w:rPr>
        <w:t>grant</w:t>
      </w:r>
      <w:r w:rsidR="00435623">
        <w:rPr>
          <w:rFonts w:ascii="ArialMT" w:hAnsi="ArialMT" w:cs="ArialMT"/>
          <w:sz w:val="24"/>
          <w:szCs w:val="24"/>
        </w:rPr>
        <w:t xml:space="preserve"> planning permission for this development</w:t>
      </w:r>
      <w:r>
        <w:rPr>
          <w:rFonts w:ascii="ArialMT" w:hAnsi="ArialMT" w:cs="ArialMT"/>
          <w:sz w:val="24"/>
          <w:szCs w:val="24"/>
        </w:rPr>
        <w:t xml:space="preserve"> </w:t>
      </w:r>
      <w:r w:rsidR="00C31634">
        <w:rPr>
          <w:rFonts w:ascii="ArialMT" w:hAnsi="ArialMT" w:cs="ArialMT"/>
          <w:sz w:val="24"/>
          <w:szCs w:val="24"/>
        </w:rPr>
        <w:t xml:space="preserve">subject to the planning conditions set out in this report and the completion of a S106 Legal Agreement which secures affordable housing contributions for the delivery of off-site affordable housing provision </w:t>
      </w:r>
      <w:r w:rsidR="00435623">
        <w:rPr>
          <w:rFonts w:ascii="ArialMT" w:hAnsi="ArialMT" w:cs="ArialMT"/>
          <w:sz w:val="24"/>
          <w:szCs w:val="24"/>
        </w:rPr>
        <w:t>and to delegate to officers</w:t>
      </w:r>
      <w:r>
        <w:rPr>
          <w:rFonts w:ascii="ArialMT" w:hAnsi="ArialMT" w:cs="ArialMT"/>
          <w:sz w:val="24"/>
          <w:szCs w:val="24"/>
        </w:rPr>
        <w:t xml:space="preserve"> </w:t>
      </w:r>
      <w:r w:rsidR="00435623">
        <w:rPr>
          <w:rFonts w:ascii="ArialMT" w:hAnsi="ArialMT" w:cs="ArialMT"/>
          <w:sz w:val="24"/>
          <w:szCs w:val="24"/>
        </w:rPr>
        <w:t xml:space="preserve">the </w:t>
      </w:r>
      <w:r w:rsidR="00C31634">
        <w:rPr>
          <w:rFonts w:ascii="ArialMT" w:hAnsi="ArialMT" w:cs="ArialMT"/>
          <w:sz w:val="24"/>
          <w:szCs w:val="24"/>
        </w:rPr>
        <w:t>completion of that</w:t>
      </w:r>
      <w:r>
        <w:rPr>
          <w:rFonts w:ascii="ArialMT" w:hAnsi="ArialMT" w:cs="ArialMT"/>
          <w:sz w:val="24"/>
          <w:szCs w:val="24"/>
        </w:rPr>
        <w:t xml:space="preserve"> legal agreement and the issuing of the notice of </w:t>
      </w:r>
      <w:r w:rsidR="00C31634">
        <w:rPr>
          <w:rFonts w:ascii="ArialMT" w:hAnsi="ArialMT" w:cs="ArialMT"/>
          <w:sz w:val="24"/>
          <w:szCs w:val="24"/>
        </w:rPr>
        <w:t xml:space="preserve">planning </w:t>
      </w:r>
      <w:r>
        <w:rPr>
          <w:rFonts w:ascii="ArialMT" w:hAnsi="ArialMT" w:cs="ArialMT"/>
          <w:sz w:val="24"/>
          <w:szCs w:val="24"/>
        </w:rPr>
        <w:t>permission.</w:t>
      </w:r>
    </w:p>
    <w:p w:rsidR="002A63C7" w:rsidRDefault="002A63C7" w:rsidP="00C31634">
      <w:pPr>
        <w:widowControl w:val="0"/>
        <w:autoSpaceDE w:val="0"/>
        <w:autoSpaceDN w:val="0"/>
        <w:adjustRightInd w:val="0"/>
        <w:spacing w:after="0" w:line="240" w:lineRule="auto"/>
        <w:ind w:right="-2"/>
        <w:jc w:val="both"/>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sz w:val="24"/>
          <w:szCs w:val="24"/>
        </w:rPr>
        <w:t>RESOLVE TO APPROVE SUBJECT TO COMPLETION OF LEGAL AGREEMENT</w:t>
      </w:r>
    </w:p>
    <w:p w:rsidR="002A63C7" w:rsidRDefault="002A63C7">
      <w:pPr>
        <w:widowControl w:val="0"/>
        <w:autoSpaceDE w:val="0"/>
        <w:autoSpaceDN w:val="0"/>
        <w:adjustRightInd w:val="0"/>
        <w:spacing w:after="0" w:line="240" w:lineRule="auto"/>
        <w:ind w:right="-2"/>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b/>
          <w:bCs/>
          <w:sz w:val="24"/>
          <w:szCs w:val="24"/>
        </w:rPr>
      </w:pPr>
    </w:p>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Reasons for Approval:</w:t>
      </w:r>
    </w:p>
    <w:p w:rsidR="002A63C7" w:rsidRDefault="002A63C7">
      <w:pPr>
        <w:widowControl w:val="0"/>
        <w:autoSpaceDE w:val="0"/>
        <w:autoSpaceDN w:val="0"/>
        <w:adjustRightInd w:val="0"/>
        <w:spacing w:after="0" w:line="240" w:lineRule="auto"/>
        <w:ind w:right="-2"/>
        <w:jc w:val="both"/>
        <w:rPr>
          <w:rFonts w:ascii="ArialMT" w:hAnsi="ArialMT" w:cs="ArialMT"/>
          <w:sz w:val="24"/>
          <w:szCs w:val="24"/>
        </w:rPr>
      </w:pPr>
    </w:p>
    <w:p w:rsidR="002A63C7" w:rsidRDefault="002A63C7">
      <w:pPr>
        <w:widowControl w:val="0"/>
        <w:numPr>
          <w:ilvl w:val="0"/>
          <w:numId w:val="1"/>
        </w:numPr>
        <w:tabs>
          <w:tab w:val="left" w:pos="220"/>
          <w:tab w:val="left" w:pos="720"/>
        </w:tabs>
        <w:autoSpaceDE w:val="0"/>
        <w:autoSpaceDN w:val="0"/>
        <w:adjustRightInd w:val="0"/>
        <w:spacing w:after="0" w:line="240" w:lineRule="auto"/>
        <w:ind w:right="-2"/>
        <w:jc w:val="both"/>
        <w:rPr>
          <w:rFonts w:ascii="ArialMT" w:hAnsi="ArialMT" w:cs="ArialMT"/>
          <w:sz w:val="24"/>
          <w:szCs w:val="24"/>
        </w:rPr>
      </w:pPr>
      <w:r>
        <w:rPr>
          <w:rFonts w:ascii="ArialMT" w:hAnsi="ArialMT" w:cs="ArialMT"/>
          <w:sz w:val="24"/>
          <w:szCs w:val="24"/>
        </w:rPr>
        <w:t>The proposed redevelopment makes an efficient use of previous developed land within a predominantly residential area and w</w:t>
      </w:r>
      <w:r w:rsidR="00980BF8">
        <w:rPr>
          <w:rFonts w:ascii="ArialMT" w:hAnsi="ArialMT" w:cs="ArialMT"/>
          <w:sz w:val="24"/>
          <w:szCs w:val="24"/>
        </w:rPr>
        <w:t>ill facilitate the removal of a</w:t>
      </w:r>
      <w:r>
        <w:rPr>
          <w:rFonts w:ascii="ArialMT" w:hAnsi="ArialMT" w:cs="ArialMT"/>
          <w:sz w:val="24"/>
          <w:szCs w:val="24"/>
        </w:rPr>
        <w:t xml:space="preserve"> vacant, disused and semi-derelict former builder’s yard which is no longer fit for purpose and detracts considerably from the appearance of the locality and street-scene. The overall layout, scale and design of the proposed buildings are sympathetic to the site and its surroundings while also safeguarding the residential amenities of neighbouring properties. The proposed dwellings would provide good quality housing for future occupants and delivers appropriate contributions towards new affordable housing. The proposal is also acceptable in highways terms and energy efficiency and does not create any biodiversity, environmental or flooding impacts. The development would therefore accord with the National Planning Policy Framework and policies of the Oxford Core Strategy 2026, Oxford Local Plan 2001-2016 and the Sites and Housing Plan 2011-2026.</w:t>
      </w:r>
    </w:p>
    <w:p w:rsidR="002A63C7" w:rsidRDefault="002A63C7">
      <w:pPr>
        <w:widowControl w:val="0"/>
        <w:tabs>
          <w:tab w:val="left" w:pos="566"/>
        </w:tabs>
        <w:autoSpaceDE w:val="0"/>
        <w:autoSpaceDN w:val="0"/>
        <w:adjustRightInd w:val="0"/>
        <w:spacing w:after="0" w:line="240" w:lineRule="auto"/>
        <w:ind w:right="-2"/>
        <w:jc w:val="both"/>
        <w:rPr>
          <w:rFonts w:ascii="ArialMT" w:hAnsi="ArialMT" w:cs="ArialMT"/>
          <w:sz w:val="24"/>
          <w:szCs w:val="24"/>
        </w:rPr>
      </w:pPr>
    </w:p>
    <w:p w:rsidR="002A63C7" w:rsidRDefault="002A63C7" w:rsidP="00A26ED1">
      <w:pPr>
        <w:widowControl w:val="0"/>
        <w:numPr>
          <w:ilvl w:val="0"/>
          <w:numId w:val="1"/>
        </w:numPr>
        <w:tabs>
          <w:tab w:val="left" w:pos="220"/>
          <w:tab w:val="left" w:pos="720"/>
        </w:tabs>
        <w:autoSpaceDE w:val="0"/>
        <w:autoSpaceDN w:val="0"/>
        <w:adjustRightInd w:val="0"/>
        <w:spacing w:after="0" w:line="240" w:lineRule="auto"/>
        <w:ind w:right="-2"/>
        <w:jc w:val="both"/>
        <w:rPr>
          <w:rFonts w:ascii="ArialMT" w:hAnsi="ArialMT" w:cs="ArialMT"/>
          <w:sz w:val="24"/>
          <w:szCs w:val="24"/>
        </w:rPr>
      </w:pPr>
      <w:r>
        <w:rPr>
          <w:rFonts w:ascii="ArialMT" w:hAnsi="ArialMT" w:cs="ArialMT"/>
          <w:sz w:val="24"/>
          <w:szCs w:val="24"/>
        </w:rPr>
        <w:t>The Council considers that the proposal accords with the policies of Development Plan as summarised in this report. It has considered all other material matters, including matters raised in response to consultation and publicity. Any material harm that might otherwise arise as a result of the proposal can be offset or mitigated by the conditions imposed.</w:t>
      </w:r>
    </w:p>
    <w:p w:rsidR="0067425B" w:rsidRDefault="0067425B" w:rsidP="0067425B">
      <w:pPr>
        <w:pStyle w:val="ListParagraph"/>
        <w:rPr>
          <w:rFonts w:ascii="ArialMT" w:hAnsi="ArialMT" w:cs="ArialMT"/>
          <w:sz w:val="24"/>
          <w:szCs w:val="24"/>
        </w:rPr>
      </w:pPr>
    </w:p>
    <w:p w:rsidR="0067425B" w:rsidRPr="0067425B" w:rsidRDefault="0067425B" w:rsidP="00E20A8A">
      <w:pPr>
        <w:widowControl w:val="0"/>
        <w:autoSpaceDE w:val="0"/>
        <w:autoSpaceDN w:val="0"/>
        <w:spacing w:after="0" w:line="240" w:lineRule="auto"/>
        <w:ind w:left="720" w:hanging="360"/>
        <w:jc w:val="both"/>
        <w:rPr>
          <w:rFonts w:ascii="Arial" w:eastAsia="Times New Roman" w:hAnsi="Arial" w:cs="Arial"/>
          <w:sz w:val="24"/>
          <w:szCs w:val="24"/>
          <w:lang w:eastAsia="en-US"/>
        </w:rPr>
      </w:pPr>
      <w:r w:rsidRPr="0067425B">
        <w:rPr>
          <w:rFonts w:ascii="Arial" w:eastAsia="Times New Roman" w:hAnsi="Arial" w:cs="Arial"/>
          <w:sz w:val="24"/>
          <w:szCs w:val="24"/>
          <w:lang w:eastAsia="en-US"/>
        </w:rPr>
        <w:t>3</w:t>
      </w:r>
      <w:r w:rsidRPr="0067425B">
        <w:rPr>
          <w:rFonts w:ascii="Arial" w:eastAsia="Times New Roman" w:hAnsi="Arial" w:cs="Arial"/>
          <w:sz w:val="24"/>
          <w:szCs w:val="24"/>
          <w:lang w:eastAsia="en-US"/>
        </w:rP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2A63C7" w:rsidRDefault="002A63C7">
      <w:pPr>
        <w:widowControl w:val="0"/>
        <w:tabs>
          <w:tab w:val="left" w:pos="566"/>
        </w:tabs>
        <w:autoSpaceDE w:val="0"/>
        <w:autoSpaceDN w:val="0"/>
        <w:adjustRightInd w:val="0"/>
        <w:spacing w:after="0" w:line="240" w:lineRule="auto"/>
        <w:ind w:right="-2"/>
        <w:jc w:val="both"/>
        <w:rPr>
          <w:rFonts w:ascii="ArialMT" w:hAnsi="ArialMT" w:cs="ArialMT"/>
          <w:sz w:val="24"/>
          <w:szCs w:val="24"/>
        </w:rPr>
      </w:pPr>
    </w:p>
    <w:p w:rsidR="002A63C7" w:rsidRDefault="002A63C7">
      <w:pPr>
        <w:widowControl w:val="0"/>
        <w:tabs>
          <w:tab w:val="left" w:pos="566"/>
        </w:tabs>
        <w:autoSpaceDE w:val="0"/>
        <w:autoSpaceDN w:val="0"/>
        <w:adjustRightInd w:val="0"/>
        <w:spacing w:after="0" w:line="240" w:lineRule="auto"/>
        <w:ind w:right="-2"/>
        <w:jc w:val="both"/>
        <w:rPr>
          <w:rFonts w:ascii="ArialMT" w:hAnsi="ArialMT" w:cs="ArialMT"/>
          <w:sz w:val="24"/>
          <w:szCs w:val="24"/>
        </w:rPr>
      </w:pPr>
      <w:r>
        <w:rPr>
          <w:rFonts w:ascii="ArialMT" w:hAnsi="ArialMT" w:cs="ArialMT"/>
          <w:b/>
          <w:bCs/>
          <w:sz w:val="24"/>
          <w:szCs w:val="24"/>
        </w:rPr>
        <w:t>Conditions:</w:t>
      </w:r>
    </w:p>
    <w:p w:rsidR="002A63C7" w:rsidRDefault="002A63C7">
      <w:pPr>
        <w:widowControl w:val="0"/>
        <w:tabs>
          <w:tab w:val="left" w:pos="566"/>
        </w:tabs>
        <w:autoSpaceDE w:val="0"/>
        <w:autoSpaceDN w:val="0"/>
        <w:adjustRightInd w:val="0"/>
        <w:spacing w:after="0" w:line="240" w:lineRule="auto"/>
        <w:ind w:right="-2"/>
        <w:jc w:val="both"/>
        <w:rPr>
          <w:rFonts w:ascii="ArialMT" w:hAnsi="ArialMT" w:cs="ArialMT"/>
          <w:sz w:val="24"/>
          <w:szCs w:val="24"/>
        </w:rPr>
      </w:pP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Development begun within time limit</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Development in accordance with approved plans</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Samples of materials</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Landscape plan required</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Landscape carry out after completion</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Boundary details - development commencement</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Sight lines</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Details of cycle parking, waste &amp; recycling storage areas</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Suspected contamination - risk assess, Phase 2 and Phase 3 assessment required</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Bat &amp; Bird Boxes integrated into building</w:t>
      </w:r>
    </w:p>
    <w:p w:rsidR="002A63C7" w:rsidRDefault="002A63C7" w:rsidP="00980BF8">
      <w:pPr>
        <w:widowControl w:val="0"/>
        <w:numPr>
          <w:ilvl w:val="0"/>
          <w:numId w:val="3"/>
        </w:numPr>
        <w:tabs>
          <w:tab w:val="left" w:pos="220"/>
          <w:tab w:val="left" w:pos="720"/>
        </w:tabs>
        <w:autoSpaceDE w:val="0"/>
        <w:autoSpaceDN w:val="0"/>
        <w:adjustRightInd w:val="0"/>
        <w:spacing w:after="0" w:line="240" w:lineRule="auto"/>
        <w:ind w:left="1276" w:right="-2" w:hanging="696"/>
        <w:jc w:val="both"/>
        <w:rPr>
          <w:rFonts w:ascii="ArialMT" w:hAnsi="ArialMT" w:cs="ArialMT"/>
          <w:sz w:val="24"/>
          <w:szCs w:val="24"/>
        </w:rPr>
      </w:pPr>
      <w:r>
        <w:rPr>
          <w:rFonts w:ascii="ArialMT" w:hAnsi="ArialMT" w:cs="ArialMT"/>
          <w:sz w:val="24"/>
          <w:szCs w:val="24"/>
        </w:rPr>
        <w:t>Surface drainage scheme</w:t>
      </w:r>
    </w:p>
    <w:p w:rsidR="002A63C7" w:rsidRDefault="002A63C7">
      <w:pPr>
        <w:widowControl w:val="0"/>
        <w:tabs>
          <w:tab w:val="left" w:pos="220"/>
          <w:tab w:val="left" w:pos="720"/>
        </w:tabs>
        <w:autoSpaceDE w:val="0"/>
        <w:autoSpaceDN w:val="0"/>
        <w:adjustRightInd w:val="0"/>
        <w:spacing w:after="0" w:line="240" w:lineRule="auto"/>
        <w:ind w:left="220" w:right="-2"/>
        <w:jc w:val="both"/>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b/>
          <w:bCs/>
          <w:sz w:val="24"/>
          <w:szCs w:val="24"/>
        </w:rPr>
      </w:pPr>
      <w:r>
        <w:rPr>
          <w:rFonts w:ascii="ArialMT" w:hAnsi="ArialMT" w:cs="ArialMT"/>
          <w:b/>
          <w:bCs/>
          <w:sz w:val="24"/>
          <w:szCs w:val="24"/>
        </w:rPr>
        <w:t>Human Rights Act 1998</w:t>
      </w:r>
    </w:p>
    <w:p w:rsidR="002A63C7" w:rsidRDefault="002A63C7">
      <w:pPr>
        <w:widowControl w:val="0"/>
        <w:autoSpaceDE w:val="0"/>
        <w:autoSpaceDN w:val="0"/>
        <w:adjustRightInd w:val="0"/>
        <w:spacing w:after="0" w:line="240" w:lineRule="auto"/>
        <w:ind w:right="-2"/>
        <w:rPr>
          <w:rFonts w:ascii="ArialMT" w:hAnsi="ArialMT" w:cs="ArialMT"/>
          <w:sz w:val="24"/>
          <w:szCs w:val="24"/>
        </w:rPr>
      </w:pPr>
    </w:p>
    <w:p w:rsidR="002A63C7" w:rsidRDefault="002A63C7">
      <w:pPr>
        <w:widowControl w:val="0"/>
        <w:autoSpaceDE w:val="0"/>
        <w:autoSpaceDN w:val="0"/>
        <w:adjustRightInd w:val="0"/>
        <w:spacing w:after="0" w:line="240" w:lineRule="auto"/>
        <w:ind w:right="-3"/>
        <w:jc w:val="both"/>
        <w:rPr>
          <w:rFonts w:ascii="ArialMT" w:hAnsi="ArialMT" w:cs="ArialMT"/>
          <w:sz w:val="24"/>
          <w:szCs w:val="24"/>
        </w:rPr>
      </w:pPr>
      <w:r>
        <w:rPr>
          <w:rFonts w:ascii="ArialMT" w:hAnsi="ArialMT" w:cs="ArialMT"/>
          <w:sz w:val="24"/>
          <w:szCs w:val="24"/>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2A63C7" w:rsidRDefault="002A63C7">
      <w:pPr>
        <w:widowControl w:val="0"/>
        <w:autoSpaceDE w:val="0"/>
        <w:autoSpaceDN w:val="0"/>
        <w:adjustRightInd w:val="0"/>
        <w:spacing w:after="0" w:line="240" w:lineRule="auto"/>
        <w:ind w:right="-3"/>
        <w:jc w:val="both"/>
        <w:rPr>
          <w:rFonts w:ascii="ArialMT" w:hAnsi="ArialMT" w:cs="ArialMT"/>
          <w:sz w:val="24"/>
          <w:szCs w:val="24"/>
        </w:rPr>
      </w:pPr>
    </w:p>
    <w:p w:rsidR="002A63C7" w:rsidRDefault="002A63C7">
      <w:pPr>
        <w:widowControl w:val="0"/>
        <w:autoSpaceDE w:val="0"/>
        <w:autoSpaceDN w:val="0"/>
        <w:adjustRightInd w:val="0"/>
        <w:spacing w:after="0" w:line="240" w:lineRule="auto"/>
        <w:ind w:right="-3"/>
        <w:jc w:val="both"/>
        <w:rPr>
          <w:rFonts w:ascii="ArialMT" w:hAnsi="ArialMT" w:cs="ArialMT"/>
          <w:sz w:val="24"/>
          <w:szCs w:val="24"/>
        </w:rPr>
      </w:pPr>
      <w:r>
        <w:rPr>
          <w:rFonts w:ascii="ArialMT" w:hAnsi="ArialMT" w:cs="ArialMT"/>
          <w:sz w:val="24"/>
          <w:szCs w:val="24"/>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2A63C7" w:rsidRDefault="002A63C7">
      <w:pPr>
        <w:widowControl w:val="0"/>
        <w:autoSpaceDE w:val="0"/>
        <w:autoSpaceDN w:val="0"/>
        <w:adjustRightInd w:val="0"/>
        <w:spacing w:after="0" w:line="240" w:lineRule="auto"/>
        <w:ind w:right="-3"/>
        <w:jc w:val="both"/>
        <w:rPr>
          <w:rFonts w:ascii="ArialMT" w:hAnsi="ArialMT" w:cs="ArialMT"/>
          <w:sz w:val="24"/>
          <w:szCs w:val="24"/>
        </w:rPr>
      </w:pPr>
    </w:p>
    <w:p w:rsidR="002A63C7" w:rsidRDefault="002A63C7">
      <w:pPr>
        <w:widowControl w:val="0"/>
        <w:autoSpaceDE w:val="0"/>
        <w:autoSpaceDN w:val="0"/>
        <w:adjustRightInd w:val="0"/>
        <w:spacing w:after="0" w:line="240" w:lineRule="auto"/>
        <w:ind w:right="-3"/>
        <w:rPr>
          <w:rFonts w:ascii="ArialMT" w:hAnsi="ArialMT" w:cs="ArialMT"/>
          <w:b/>
          <w:bCs/>
          <w:sz w:val="24"/>
          <w:szCs w:val="24"/>
        </w:rPr>
      </w:pPr>
      <w:r>
        <w:rPr>
          <w:rFonts w:ascii="ArialMT" w:hAnsi="ArialMT" w:cs="ArialMT"/>
          <w:b/>
          <w:bCs/>
          <w:sz w:val="24"/>
          <w:szCs w:val="24"/>
        </w:rPr>
        <w:t>Section 17 of the Crime and Disorder Act 1998</w:t>
      </w:r>
    </w:p>
    <w:p w:rsidR="002A63C7" w:rsidRDefault="002A63C7">
      <w:pPr>
        <w:widowControl w:val="0"/>
        <w:autoSpaceDE w:val="0"/>
        <w:autoSpaceDN w:val="0"/>
        <w:adjustRightInd w:val="0"/>
        <w:spacing w:after="0" w:line="240" w:lineRule="auto"/>
        <w:ind w:right="-3"/>
        <w:rPr>
          <w:rFonts w:ascii="ArialMT" w:hAnsi="ArialMT" w:cs="ArialMT"/>
          <w:sz w:val="24"/>
          <w:szCs w:val="24"/>
        </w:rPr>
      </w:pPr>
    </w:p>
    <w:p w:rsidR="002A63C7" w:rsidRDefault="002A63C7">
      <w:pPr>
        <w:widowControl w:val="0"/>
        <w:autoSpaceDE w:val="0"/>
        <w:autoSpaceDN w:val="0"/>
        <w:adjustRightInd w:val="0"/>
        <w:spacing w:after="0" w:line="240" w:lineRule="auto"/>
        <w:ind w:right="-3"/>
        <w:jc w:val="both"/>
        <w:rPr>
          <w:rFonts w:ascii="ArialMT" w:hAnsi="ArialMT" w:cs="ArialMT"/>
          <w:sz w:val="24"/>
          <w:szCs w:val="24"/>
        </w:rPr>
      </w:pPr>
      <w:r>
        <w:rPr>
          <w:rFonts w:ascii="ArialMT" w:hAnsi="ArialMT" w:cs="ArialMT"/>
          <w:sz w:val="24"/>
          <w:szCs w:val="24"/>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2A63C7" w:rsidRDefault="002A63C7">
      <w:pPr>
        <w:widowControl w:val="0"/>
        <w:autoSpaceDE w:val="0"/>
        <w:autoSpaceDN w:val="0"/>
        <w:adjustRightInd w:val="0"/>
        <w:spacing w:after="0" w:line="240" w:lineRule="auto"/>
        <w:ind w:right="395"/>
        <w:jc w:val="both"/>
        <w:rPr>
          <w:rFonts w:ascii="ArialMT" w:hAnsi="ArialMT" w:cs="ArialMT"/>
          <w:sz w:val="24"/>
          <w:szCs w:val="24"/>
        </w:rPr>
      </w:pPr>
    </w:p>
    <w:p w:rsidR="002A63C7" w:rsidRDefault="002A63C7">
      <w:pPr>
        <w:widowControl w:val="0"/>
        <w:autoSpaceDE w:val="0"/>
        <w:autoSpaceDN w:val="0"/>
        <w:adjustRightInd w:val="0"/>
        <w:spacing w:after="0" w:line="240" w:lineRule="auto"/>
        <w:ind w:right="395"/>
        <w:jc w:val="both"/>
        <w:rPr>
          <w:rFonts w:ascii="ArialMT" w:hAnsi="ArialMT" w:cs="ArialMT"/>
          <w:sz w:val="24"/>
          <w:szCs w:val="24"/>
        </w:rPr>
      </w:pPr>
    </w:p>
    <w:p w:rsidR="002A63C7" w:rsidRDefault="002A63C7">
      <w:pPr>
        <w:widowControl w:val="0"/>
        <w:autoSpaceDE w:val="0"/>
        <w:autoSpaceDN w:val="0"/>
        <w:adjustRightInd w:val="0"/>
        <w:spacing w:after="0" w:line="240" w:lineRule="auto"/>
        <w:ind w:right="395"/>
        <w:jc w:val="both"/>
        <w:rPr>
          <w:rFonts w:ascii="ArialMT" w:hAnsi="ArialMT" w:cs="ArialMT"/>
          <w:b/>
          <w:bCs/>
          <w:sz w:val="24"/>
          <w:szCs w:val="24"/>
        </w:rPr>
      </w:pPr>
      <w:r>
        <w:rPr>
          <w:rFonts w:ascii="ArialMT" w:hAnsi="ArialMT" w:cs="ArialMT"/>
          <w:b/>
          <w:bCs/>
          <w:sz w:val="24"/>
          <w:szCs w:val="24"/>
        </w:rPr>
        <w:t xml:space="preserve">Background Papers: </w:t>
      </w:r>
    </w:p>
    <w:p w:rsidR="002A63C7" w:rsidRDefault="002A63C7">
      <w:pPr>
        <w:widowControl w:val="0"/>
        <w:autoSpaceDE w:val="0"/>
        <w:autoSpaceDN w:val="0"/>
        <w:adjustRightInd w:val="0"/>
        <w:spacing w:after="0" w:line="240" w:lineRule="auto"/>
        <w:ind w:right="395"/>
        <w:jc w:val="both"/>
        <w:rPr>
          <w:rFonts w:ascii="ArialMT" w:hAnsi="ArialMT" w:cs="ArialMT"/>
          <w:sz w:val="24"/>
          <w:szCs w:val="24"/>
        </w:rPr>
      </w:pPr>
    </w:p>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 xml:space="preserve">Contact Officer: </w:t>
      </w:r>
      <w:r>
        <w:rPr>
          <w:rFonts w:ascii="ArialMT" w:hAnsi="ArialMT" w:cs="ArialMT"/>
          <w:sz w:val="24"/>
          <w:szCs w:val="24"/>
        </w:rPr>
        <w:t>Trevor Saunders</w:t>
      </w:r>
    </w:p>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 xml:space="preserve">Extension: </w:t>
      </w:r>
      <w:proofErr w:type="gramStart"/>
      <w:r>
        <w:rPr>
          <w:rFonts w:ascii="ArialMT" w:hAnsi="ArialMT" w:cs="ArialMT"/>
          <w:b/>
          <w:bCs/>
          <w:sz w:val="24"/>
          <w:szCs w:val="24"/>
        </w:rPr>
        <w:t>n/a</w:t>
      </w:r>
      <w:proofErr w:type="gramEnd"/>
    </w:p>
    <w:p w:rsidR="002A63C7" w:rsidRDefault="002A63C7">
      <w:pPr>
        <w:widowControl w:val="0"/>
        <w:autoSpaceDE w:val="0"/>
        <w:autoSpaceDN w:val="0"/>
        <w:adjustRightInd w:val="0"/>
        <w:spacing w:after="0" w:line="240" w:lineRule="auto"/>
        <w:ind w:right="-2"/>
        <w:rPr>
          <w:rFonts w:ascii="ArialMT" w:hAnsi="ArialMT" w:cs="ArialMT"/>
          <w:sz w:val="24"/>
          <w:szCs w:val="24"/>
        </w:rPr>
      </w:pPr>
      <w:r>
        <w:rPr>
          <w:rFonts w:ascii="ArialMT" w:hAnsi="ArialMT" w:cs="ArialMT"/>
          <w:b/>
          <w:bCs/>
          <w:sz w:val="24"/>
          <w:szCs w:val="24"/>
        </w:rPr>
        <w:t xml:space="preserve">Date: </w:t>
      </w:r>
      <w:r w:rsidR="006617B2">
        <w:rPr>
          <w:rFonts w:ascii="ArialMT" w:hAnsi="ArialMT" w:cs="ArialMT"/>
          <w:sz w:val="24"/>
          <w:szCs w:val="24"/>
        </w:rPr>
        <w:t>14</w:t>
      </w:r>
      <w:r w:rsidR="008F0DD3" w:rsidRPr="008F0DD3">
        <w:rPr>
          <w:rFonts w:ascii="ArialMT" w:hAnsi="ArialMT" w:cs="ArialMT"/>
          <w:sz w:val="24"/>
          <w:szCs w:val="24"/>
          <w:vertAlign w:val="superscript"/>
        </w:rPr>
        <w:t>th</w:t>
      </w:r>
      <w:r>
        <w:rPr>
          <w:rFonts w:ascii="ArialMT" w:hAnsi="ArialMT" w:cs="ArialMT"/>
          <w:sz w:val="24"/>
          <w:szCs w:val="24"/>
        </w:rPr>
        <w:t xml:space="preserve"> </w:t>
      </w:r>
      <w:r w:rsidR="006617B2">
        <w:rPr>
          <w:rFonts w:ascii="ArialMT" w:hAnsi="ArialMT" w:cs="ArialMT"/>
          <w:sz w:val="24"/>
          <w:szCs w:val="24"/>
        </w:rPr>
        <w:t>November</w:t>
      </w:r>
      <w:r>
        <w:rPr>
          <w:rFonts w:ascii="ArialMT" w:hAnsi="ArialMT" w:cs="ArialMT"/>
          <w:sz w:val="24"/>
          <w:szCs w:val="24"/>
        </w:rPr>
        <w:t xml:space="preserve"> 2015</w:t>
      </w:r>
    </w:p>
    <w:sectPr w:rsidR="002A63C7">
      <w:pgSz w:w="11905" w:h="16837"/>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11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14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0234A04"/>
    <w:multiLevelType w:val="hybridMultilevel"/>
    <w:tmpl w:val="28768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803D9F"/>
    <w:multiLevelType w:val="hybridMultilevel"/>
    <w:tmpl w:val="633A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D7091C"/>
    <w:multiLevelType w:val="hybridMultilevel"/>
    <w:tmpl w:val="62C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7C7833"/>
    <w:multiLevelType w:val="hybridMultilevel"/>
    <w:tmpl w:val="7696E5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FD3ED4"/>
    <w:multiLevelType w:val="hybridMultilevel"/>
    <w:tmpl w:val="1EC60648"/>
    <w:lvl w:ilvl="0" w:tplc="08090001">
      <w:start w:val="1"/>
      <w:numFmt w:val="bullet"/>
      <w:lvlText w:val=""/>
      <w:lvlJc w:val="left"/>
      <w:pPr>
        <w:ind w:left="14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795C0DBE"/>
    <w:multiLevelType w:val="hybridMultilevel"/>
    <w:tmpl w:val="66ECE1FC"/>
    <w:lvl w:ilvl="0" w:tplc="0409000F">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0E41A0"/>
    <w:multiLevelType w:val="hybridMultilevel"/>
    <w:tmpl w:val="8C4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10"/>
  </w:num>
  <w:num w:numId="10">
    <w:abstractNumId w:val="7"/>
  </w:num>
  <w:num w:numId="11">
    <w:abstractNumId w:val="9"/>
  </w:num>
  <w:num w:numId="12">
    <w:abstractNumId w:val="12"/>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arden">
    <w15:presenceInfo w15:providerId="AD" w15:userId="S-1-5-21-1028033508-218677054-4194507094-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F8"/>
    <w:rsid w:val="000A7667"/>
    <w:rsid w:val="000C0D8D"/>
    <w:rsid w:val="0014626D"/>
    <w:rsid w:val="001E029D"/>
    <w:rsid w:val="00205A59"/>
    <w:rsid w:val="00254660"/>
    <w:rsid w:val="00276F22"/>
    <w:rsid w:val="002A63C7"/>
    <w:rsid w:val="003D78AE"/>
    <w:rsid w:val="00435623"/>
    <w:rsid w:val="00444EE8"/>
    <w:rsid w:val="00464CB4"/>
    <w:rsid w:val="005039DD"/>
    <w:rsid w:val="00550A12"/>
    <w:rsid w:val="005A5C2B"/>
    <w:rsid w:val="006617B2"/>
    <w:rsid w:val="0067425B"/>
    <w:rsid w:val="006B4F93"/>
    <w:rsid w:val="00785A09"/>
    <w:rsid w:val="00790209"/>
    <w:rsid w:val="0080280C"/>
    <w:rsid w:val="008D0A95"/>
    <w:rsid w:val="008F0DD3"/>
    <w:rsid w:val="008F54A2"/>
    <w:rsid w:val="008F66A0"/>
    <w:rsid w:val="008F66A7"/>
    <w:rsid w:val="00907946"/>
    <w:rsid w:val="00911CE2"/>
    <w:rsid w:val="00914199"/>
    <w:rsid w:val="009323CE"/>
    <w:rsid w:val="00980BF8"/>
    <w:rsid w:val="00A26ED1"/>
    <w:rsid w:val="00A56CF0"/>
    <w:rsid w:val="00A623F7"/>
    <w:rsid w:val="00AE202E"/>
    <w:rsid w:val="00B042BB"/>
    <w:rsid w:val="00B3641B"/>
    <w:rsid w:val="00BC1F7F"/>
    <w:rsid w:val="00BD681A"/>
    <w:rsid w:val="00C1605C"/>
    <w:rsid w:val="00C31634"/>
    <w:rsid w:val="00C359EB"/>
    <w:rsid w:val="00CA2949"/>
    <w:rsid w:val="00E20A8A"/>
    <w:rsid w:val="00E65D94"/>
    <w:rsid w:val="00E67BB2"/>
    <w:rsid w:val="00F10EE9"/>
    <w:rsid w:val="00F4699C"/>
    <w:rsid w:val="00FB1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A08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5B"/>
    <w:pPr>
      <w:ind w:left="720"/>
    </w:pPr>
  </w:style>
  <w:style w:type="paragraph" w:styleId="BalloonText">
    <w:name w:val="Balloon Text"/>
    <w:basedOn w:val="Normal"/>
    <w:link w:val="BalloonTextChar"/>
    <w:uiPriority w:val="99"/>
    <w:semiHidden/>
    <w:unhideWhenUsed/>
    <w:rsid w:val="0091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5B"/>
    <w:pPr>
      <w:ind w:left="720"/>
    </w:pPr>
  </w:style>
  <w:style w:type="paragraph" w:styleId="BalloonText">
    <w:name w:val="Balloon Text"/>
    <w:basedOn w:val="Normal"/>
    <w:link w:val="BalloonTextChar"/>
    <w:uiPriority w:val="99"/>
    <w:semiHidden/>
    <w:unhideWhenUsed/>
    <w:rsid w:val="0091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ED04-16A8-4CE3-826D-5D0CDECA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B965C1C9</Template>
  <TotalTime>51</TotalTime>
  <Pages>1</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edward.oteng</cp:lastModifiedBy>
  <cp:revision>2</cp:revision>
  <cp:lastPrinted>2015-11-17T16:56:00Z</cp:lastPrinted>
  <dcterms:created xsi:type="dcterms:W3CDTF">2015-11-24T14:28:00Z</dcterms:created>
  <dcterms:modified xsi:type="dcterms:W3CDTF">2015-11-24T14:28:00Z</dcterms:modified>
</cp:coreProperties>
</file>